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663B6" w14:textId="1DB38488" w:rsidR="003E692C" w:rsidRDefault="003E692C" w:rsidP="00FA3D94">
      <w:pPr>
        <w:rPr>
          <w:rFonts w:ascii="Arial" w:hAnsi="Arial" w:cs="Arial"/>
          <w:b/>
        </w:rPr>
      </w:pPr>
      <w:r>
        <w:rPr>
          <w:rFonts w:ascii="Arial" w:hAnsi="Arial"/>
          <w:b/>
        </w:rPr>
        <w:t xml:space="preserve">Concours </w:t>
      </w:r>
      <w:r w:rsidR="00C6257C" w:rsidRPr="00C6257C">
        <w:rPr>
          <w:rFonts w:ascii="Arial" w:hAnsi="Arial"/>
          <w:b/>
        </w:rPr>
        <w:t>de rédaction d</w:t>
      </w:r>
      <w:r w:rsidR="00800AFD">
        <w:rPr>
          <w:rFonts w:ascii="Arial" w:hAnsi="Arial"/>
          <w:b/>
        </w:rPr>
        <w:t xml:space="preserve">e </w:t>
      </w:r>
      <w:r w:rsidR="00F950C6">
        <w:rPr>
          <w:rFonts w:ascii="Arial" w:hAnsi="Arial"/>
          <w:b/>
        </w:rPr>
        <w:t>note</w:t>
      </w:r>
      <w:r w:rsidR="00800AFD">
        <w:rPr>
          <w:rFonts w:ascii="Arial" w:hAnsi="Arial"/>
          <w:b/>
        </w:rPr>
        <w:t>s</w:t>
      </w:r>
      <w:r w:rsidR="00F950C6">
        <w:rPr>
          <w:rFonts w:ascii="Arial" w:hAnsi="Arial"/>
          <w:b/>
        </w:rPr>
        <w:t xml:space="preserve"> d’information </w:t>
      </w:r>
      <w:r w:rsidR="00800AFD">
        <w:rPr>
          <w:rFonts w:ascii="Arial" w:hAnsi="Arial"/>
          <w:b/>
        </w:rPr>
        <w:t xml:space="preserve">de </w:t>
      </w:r>
      <w:r w:rsidR="00725BFD">
        <w:rPr>
          <w:rFonts w:ascii="Arial" w:hAnsi="Arial"/>
          <w:b/>
        </w:rPr>
        <w:t xml:space="preserve">2025 </w:t>
      </w:r>
      <w:r>
        <w:rPr>
          <w:rFonts w:ascii="Arial" w:hAnsi="Arial"/>
          <w:b/>
        </w:rPr>
        <w:t>de la S</w:t>
      </w:r>
      <w:r w:rsidR="00F1770A">
        <w:rPr>
          <w:rFonts w:ascii="Arial" w:hAnsi="Arial"/>
          <w:b/>
        </w:rPr>
        <w:t>CAE</w:t>
      </w:r>
    </w:p>
    <w:p w14:paraId="62D1B5EA" w14:textId="2F15FCDB" w:rsidR="00725B6B" w:rsidRPr="00725B6B" w:rsidRDefault="00F1329A" w:rsidP="00725B6B">
      <w:pPr>
        <w:rPr>
          <w:rFonts w:ascii="Arial" w:hAnsi="Arial" w:cs="Arial"/>
          <w:b/>
        </w:rPr>
      </w:pPr>
      <w:r>
        <w:rPr>
          <w:rFonts w:ascii="Arial" w:hAnsi="Arial"/>
          <w:b/>
        </w:rPr>
        <w:t>Contexte</w:t>
      </w:r>
    </w:p>
    <w:p w14:paraId="5063387B" w14:textId="4AE7399C" w:rsidR="007C62C9" w:rsidRDefault="00E47329" w:rsidP="00725B6B">
      <w:pPr>
        <w:rPr>
          <w:rFonts w:ascii="Arial" w:hAnsi="Arial" w:cs="Arial"/>
          <w:bCs/>
        </w:rPr>
      </w:pPr>
      <w:r>
        <w:rPr>
          <w:rFonts w:ascii="Arial" w:hAnsi="Arial"/>
        </w:rPr>
        <w:t>Les intervenants du secteur de l</w:t>
      </w:r>
      <w:r w:rsidR="002605CA">
        <w:rPr>
          <w:rFonts w:ascii="Arial" w:hAnsi="Arial"/>
        </w:rPr>
        <w:t>’</w:t>
      </w:r>
      <w:r>
        <w:rPr>
          <w:rFonts w:ascii="Arial" w:hAnsi="Arial"/>
        </w:rPr>
        <w:t>agriculture et de l</w:t>
      </w:r>
      <w:r w:rsidR="002605CA">
        <w:rPr>
          <w:rFonts w:ascii="Arial" w:hAnsi="Arial"/>
        </w:rPr>
        <w:t>’</w:t>
      </w:r>
      <w:r>
        <w:rPr>
          <w:rFonts w:ascii="Arial" w:hAnsi="Arial"/>
        </w:rPr>
        <w:t>agroalimentaire doivent s</w:t>
      </w:r>
      <w:r w:rsidR="002605CA">
        <w:rPr>
          <w:rFonts w:ascii="Arial" w:hAnsi="Arial"/>
        </w:rPr>
        <w:t>’</w:t>
      </w:r>
      <w:r>
        <w:rPr>
          <w:rFonts w:ascii="Arial" w:hAnsi="Arial"/>
        </w:rPr>
        <w:t>adapter à un nombre croissant de chocs dans un contexte d</w:t>
      </w:r>
      <w:r w:rsidR="002605CA">
        <w:rPr>
          <w:rFonts w:ascii="Arial" w:hAnsi="Arial"/>
        </w:rPr>
        <w:t>’</w:t>
      </w:r>
      <w:r>
        <w:rPr>
          <w:rFonts w:ascii="Arial" w:hAnsi="Arial"/>
        </w:rPr>
        <w:t xml:space="preserve">incertitude </w:t>
      </w:r>
      <w:r w:rsidR="00067579" w:rsidRPr="00067579">
        <w:rPr>
          <w:rFonts w:ascii="Arial" w:hAnsi="Arial"/>
        </w:rPr>
        <w:t xml:space="preserve">grandissante </w:t>
      </w:r>
      <w:r>
        <w:rPr>
          <w:rFonts w:ascii="Arial" w:hAnsi="Arial"/>
        </w:rPr>
        <w:t>afin de continuer</w:t>
      </w:r>
      <w:r w:rsidR="008D1933">
        <w:rPr>
          <w:rFonts w:ascii="Arial" w:hAnsi="Arial"/>
        </w:rPr>
        <w:t xml:space="preserve"> de </w:t>
      </w:r>
      <w:r>
        <w:rPr>
          <w:rFonts w:ascii="Arial" w:hAnsi="Arial"/>
        </w:rPr>
        <w:t>produire,</w:t>
      </w:r>
      <w:r w:rsidR="007E1735">
        <w:rPr>
          <w:rFonts w:ascii="Arial" w:hAnsi="Arial"/>
        </w:rPr>
        <w:t xml:space="preserve"> de </w:t>
      </w:r>
      <w:r>
        <w:rPr>
          <w:rFonts w:ascii="Arial" w:hAnsi="Arial"/>
        </w:rPr>
        <w:t>transformer et</w:t>
      </w:r>
      <w:r w:rsidR="007E1735">
        <w:rPr>
          <w:rFonts w:ascii="Arial" w:hAnsi="Arial"/>
        </w:rPr>
        <w:t xml:space="preserve"> de </w:t>
      </w:r>
      <w:r>
        <w:rPr>
          <w:rFonts w:ascii="Arial" w:hAnsi="Arial"/>
        </w:rPr>
        <w:t xml:space="preserve">vendre </w:t>
      </w:r>
      <w:r w:rsidR="00564C6F">
        <w:rPr>
          <w:rFonts w:ascii="Arial" w:hAnsi="Arial"/>
        </w:rPr>
        <w:t xml:space="preserve">au détail </w:t>
      </w:r>
      <w:r>
        <w:rPr>
          <w:rFonts w:ascii="Arial" w:hAnsi="Arial"/>
        </w:rPr>
        <w:t>des aliments.</w:t>
      </w:r>
      <w:r w:rsidR="004E7FF2">
        <w:rPr>
          <w:rFonts w:ascii="Arial" w:hAnsi="Arial"/>
        </w:rPr>
        <w:t xml:space="preserve"> Parallèlement</w:t>
      </w:r>
      <w:r>
        <w:rPr>
          <w:rFonts w:ascii="Arial" w:hAnsi="Arial"/>
        </w:rPr>
        <w:t>, les Canadiens ont connu une inflation rapide et une insécurité alimentaire croissante. Ces chocs s</w:t>
      </w:r>
      <w:r w:rsidR="002605CA">
        <w:rPr>
          <w:rFonts w:ascii="Arial" w:hAnsi="Arial"/>
        </w:rPr>
        <w:t>’</w:t>
      </w:r>
      <w:r>
        <w:rPr>
          <w:rFonts w:ascii="Arial" w:hAnsi="Arial"/>
        </w:rPr>
        <w:t>intensifieront probablement et la chaîne d</w:t>
      </w:r>
      <w:r w:rsidR="002605CA">
        <w:rPr>
          <w:rFonts w:ascii="Arial" w:hAnsi="Arial"/>
        </w:rPr>
        <w:t>’</w:t>
      </w:r>
      <w:r>
        <w:rPr>
          <w:rFonts w:ascii="Arial" w:hAnsi="Arial"/>
        </w:rPr>
        <w:t>approvisionnement agroalimentaire devra continuer de s</w:t>
      </w:r>
      <w:r w:rsidR="002605CA">
        <w:rPr>
          <w:rFonts w:ascii="Arial" w:hAnsi="Arial"/>
        </w:rPr>
        <w:t>’</w:t>
      </w:r>
      <w:r>
        <w:rPr>
          <w:rFonts w:ascii="Arial" w:hAnsi="Arial"/>
        </w:rPr>
        <w:t>adapter à l</w:t>
      </w:r>
      <w:r w:rsidR="002605CA">
        <w:rPr>
          <w:rFonts w:ascii="Arial" w:hAnsi="Arial"/>
        </w:rPr>
        <w:t>’</w:t>
      </w:r>
      <w:r>
        <w:rPr>
          <w:rFonts w:ascii="Arial" w:hAnsi="Arial"/>
        </w:rPr>
        <w:t>évolution des conditions du marché tout en continuant d</w:t>
      </w:r>
      <w:r w:rsidR="002605CA">
        <w:rPr>
          <w:rFonts w:ascii="Arial" w:hAnsi="Arial"/>
        </w:rPr>
        <w:t>’</w:t>
      </w:r>
      <w:r>
        <w:rPr>
          <w:rFonts w:ascii="Arial" w:hAnsi="Arial"/>
        </w:rPr>
        <w:t>améliorer sa durabilité sociale, économique et environnementale.</w:t>
      </w:r>
    </w:p>
    <w:p w14:paraId="223CAB7A" w14:textId="2B6D417A" w:rsidR="00725B6B" w:rsidRPr="00725B6B" w:rsidRDefault="00725B6B" w:rsidP="00725B6B">
      <w:pPr>
        <w:rPr>
          <w:rFonts w:ascii="Arial" w:hAnsi="Arial" w:cs="Arial"/>
          <w:bCs/>
        </w:rPr>
      </w:pPr>
      <w:r>
        <w:rPr>
          <w:rFonts w:ascii="Arial" w:hAnsi="Arial"/>
        </w:rPr>
        <w:t>Le ministre d</w:t>
      </w:r>
      <w:r w:rsidR="002605CA">
        <w:rPr>
          <w:rFonts w:ascii="Arial" w:hAnsi="Arial"/>
        </w:rPr>
        <w:t>’</w:t>
      </w:r>
      <w:r>
        <w:rPr>
          <w:rFonts w:ascii="Arial" w:hAnsi="Arial"/>
        </w:rPr>
        <w:t xml:space="preserve">Agriculture et Agroalimentaire Canada (AAC) </w:t>
      </w:r>
      <w:r w:rsidR="00A90E79">
        <w:rPr>
          <w:rFonts w:ascii="Arial" w:hAnsi="Arial"/>
        </w:rPr>
        <w:t xml:space="preserve">souhaite recevoir </w:t>
      </w:r>
      <w:r>
        <w:rPr>
          <w:rFonts w:ascii="Arial" w:hAnsi="Arial"/>
        </w:rPr>
        <w:t>de</w:t>
      </w:r>
      <w:r w:rsidR="00231017">
        <w:rPr>
          <w:rFonts w:ascii="Arial" w:hAnsi="Arial"/>
        </w:rPr>
        <w:t>s</w:t>
      </w:r>
      <w:r>
        <w:rPr>
          <w:rFonts w:ascii="Arial" w:hAnsi="Arial"/>
        </w:rPr>
        <w:t xml:space="preserve"> </w:t>
      </w:r>
      <w:r w:rsidR="00D55FE2">
        <w:rPr>
          <w:rFonts w:ascii="Arial" w:hAnsi="Arial"/>
        </w:rPr>
        <w:t>notes</w:t>
      </w:r>
      <w:r>
        <w:rPr>
          <w:rFonts w:ascii="Arial" w:hAnsi="Arial"/>
        </w:rPr>
        <w:t xml:space="preserve"> d</w:t>
      </w:r>
      <w:r w:rsidR="002605CA">
        <w:rPr>
          <w:rFonts w:ascii="Arial" w:hAnsi="Arial"/>
        </w:rPr>
        <w:t>’</w:t>
      </w:r>
      <w:r>
        <w:rPr>
          <w:rFonts w:ascii="Arial" w:hAnsi="Arial"/>
        </w:rPr>
        <w:t>information sur les</w:t>
      </w:r>
      <w:r w:rsidR="009571A1">
        <w:rPr>
          <w:rFonts w:ascii="Arial" w:hAnsi="Arial"/>
        </w:rPr>
        <w:t xml:space="preserve"> problèmes </w:t>
      </w:r>
      <w:r>
        <w:rPr>
          <w:rFonts w:ascii="Arial" w:hAnsi="Arial"/>
        </w:rPr>
        <w:t>d</w:t>
      </w:r>
      <w:r w:rsidR="002605CA">
        <w:rPr>
          <w:rFonts w:ascii="Arial" w:hAnsi="Arial"/>
        </w:rPr>
        <w:t>’</w:t>
      </w:r>
      <w:r>
        <w:rPr>
          <w:rFonts w:ascii="Arial" w:hAnsi="Arial"/>
        </w:rPr>
        <w:t>instabilité qui touchent le secteur agricole et agroalimentaire canadien.</w:t>
      </w:r>
      <w:r w:rsidR="005C62F5">
        <w:rPr>
          <w:rFonts w:ascii="Arial" w:hAnsi="Arial"/>
        </w:rPr>
        <w:t xml:space="preserve"> À cette fin</w:t>
      </w:r>
      <w:r>
        <w:rPr>
          <w:rFonts w:ascii="Arial" w:hAnsi="Arial"/>
        </w:rPr>
        <w:t xml:space="preserve">, </w:t>
      </w:r>
      <w:r w:rsidR="0089028F">
        <w:rPr>
          <w:rFonts w:ascii="Arial" w:hAnsi="Arial"/>
        </w:rPr>
        <w:t xml:space="preserve">on vous demande de </w:t>
      </w:r>
      <w:r>
        <w:rPr>
          <w:rFonts w:ascii="Arial" w:hAnsi="Arial"/>
        </w:rPr>
        <w:t>préparer une</w:t>
      </w:r>
      <w:r w:rsidR="00D820E4">
        <w:rPr>
          <w:rFonts w:ascii="Arial" w:hAnsi="Arial"/>
        </w:rPr>
        <w:t xml:space="preserve"> note </w:t>
      </w:r>
      <w:r>
        <w:rPr>
          <w:rFonts w:ascii="Arial" w:hAnsi="Arial"/>
        </w:rPr>
        <w:t>d</w:t>
      </w:r>
      <w:r w:rsidR="002605CA">
        <w:rPr>
          <w:rFonts w:ascii="Arial" w:hAnsi="Arial"/>
        </w:rPr>
        <w:t>’</w:t>
      </w:r>
      <w:r>
        <w:rPr>
          <w:rFonts w:ascii="Arial" w:hAnsi="Arial"/>
        </w:rPr>
        <w:t>information. Vous pouvez choisir n</w:t>
      </w:r>
      <w:r w:rsidR="002605CA">
        <w:rPr>
          <w:rFonts w:ascii="Arial" w:hAnsi="Arial"/>
        </w:rPr>
        <w:t>’</w:t>
      </w:r>
      <w:r>
        <w:rPr>
          <w:rFonts w:ascii="Arial" w:hAnsi="Arial"/>
        </w:rPr>
        <w:t>importe quel</w:t>
      </w:r>
      <w:r w:rsidR="008C36C7">
        <w:rPr>
          <w:rFonts w:ascii="Arial" w:hAnsi="Arial"/>
        </w:rPr>
        <w:t xml:space="preserve"> problème </w:t>
      </w:r>
      <w:r>
        <w:rPr>
          <w:rFonts w:ascii="Arial" w:hAnsi="Arial"/>
        </w:rPr>
        <w:t>actuel lié à l</w:t>
      </w:r>
      <w:r w:rsidR="002605CA">
        <w:rPr>
          <w:rFonts w:ascii="Arial" w:hAnsi="Arial"/>
        </w:rPr>
        <w:t>’</w:t>
      </w:r>
      <w:r>
        <w:rPr>
          <w:rFonts w:ascii="Arial" w:hAnsi="Arial"/>
        </w:rPr>
        <w:t>instabilité, y compris, mais sans s</w:t>
      </w:r>
      <w:r w:rsidR="002605CA">
        <w:rPr>
          <w:rFonts w:ascii="Arial" w:hAnsi="Arial"/>
        </w:rPr>
        <w:t>’</w:t>
      </w:r>
      <w:r>
        <w:rPr>
          <w:rFonts w:ascii="Arial" w:hAnsi="Arial"/>
        </w:rPr>
        <w:t>y limiter, les répercussions des changements climatiques, la réduction des émissions de gaz à effet de serre, les tarifs</w:t>
      </w:r>
      <w:r w:rsidR="0061474C">
        <w:rPr>
          <w:rFonts w:ascii="Arial" w:hAnsi="Arial"/>
        </w:rPr>
        <w:t xml:space="preserve"> </w:t>
      </w:r>
      <w:r w:rsidR="0025063E">
        <w:rPr>
          <w:rFonts w:ascii="Arial" w:hAnsi="Arial"/>
        </w:rPr>
        <w:t>douaniers</w:t>
      </w:r>
      <w:r>
        <w:rPr>
          <w:rFonts w:ascii="Arial" w:hAnsi="Arial"/>
        </w:rPr>
        <w:t>, l</w:t>
      </w:r>
      <w:r w:rsidR="002605CA">
        <w:rPr>
          <w:rFonts w:ascii="Arial" w:hAnsi="Arial"/>
        </w:rPr>
        <w:t>’</w:t>
      </w:r>
      <w:r>
        <w:rPr>
          <w:rFonts w:ascii="Arial" w:hAnsi="Arial"/>
        </w:rPr>
        <w:t>innovation, la vente au détail d</w:t>
      </w:r>
      <w:r w:rsidR="002605CA">
        <w:rPr>
          <w:rFonts w:ascii="Arial" w:hAnsi="Arial"/>
        </w:rPr>
        <w:t>’</w:t>
      </w:r>
      <w:r>
        <w:rPr>
          <w:rFonts w:ascii="Arial" w:hAnsi="Arial"/>
        </w:rPr>
        <w:t xml:space="preserve">aliments, la productivité ou la réduction du gaspillage alimentaire. Le ministre </w:t>
      </w:r>
      <w:r w:rsidR="00C30EDC">
        <w:rPr>
          <w:rFonts w:ascii="Arial" w:hAnsi="Arial"/>
        </w:rPr>
        <w:t xml:space="preserve">aimerait </w:t>
      </w:r>
      <w:r>
        <w:rPr>
          <w:rFonts w:ascii="Arial" w:hAnsi="Arial"/>
        </w:rPr>
        <w:t>deux ou trois options d</w:t>
      </w:r>
      <w:r w:rsidR="002605CA">
        <w:rPr>
          <w:rFonts w:ascii="Arial" w:hAnsi="Arial"/>
        </w:rPr>
        <w:t>’</w:t>
      </w:r>
      <w:r>
        <w:rPr>
          <w:rFonts w:ascii="Arial" w:hAnsi="Arial"/>
        </w:rPr>
        <w:t xml:space="preserve">interventions possibles axées sur un problème particulier auquel fait face le secteur. Il demande une recommandation sur la meilleure option à adopter </w:t>
      </w:r>
      <w:r w:rsidR="007843D0">
        <w:rPr>
          <w:rFonts w:ascii="Arial" w:hAnsi="Arial"/>
        </w:rPr>
        <w:t xml:space="preserve">en tenant </w:t>
      </w:r>
      <w:r>
        <w:rPr>
          <w:rFonts w:ascii="Arial" w:hAnsi="Arial"/>
        </w:rPr>
        <w:t>compte de l</w:t>
      </w:r>
      <w:r w:rsidR="002605CA">
        <w:rPr>
          <w:rFonts w:ascii="Arial" w:hAnsi="Arial"/>
        </w:rPr>
        <w:t>’</w:t>
      </w:r>
      <w:r>
        <w:rPr>
          <w:rFonts w:ascii="Arial" w:hAnsi="Arial"/>
        </w:rPr>
        <w:t>efficience économique, des budgets gouvernementaux et des répercussions sur les intervenants.</w:t>
      </w:r>
    </w:p>
    <w:p w14:paraId="0C8B248A" w14:textId="3D9CD5CB" w:rsidR="00725B6B" w:rsidRPr="00071CEE" w:rsidRDefault="00E33789" w:rsidP="00725B6B">
      <w:pPr>
        <w:rPr>
          <w:rFonts w:ascii="Arial" w:hAnsi="Arial" w:cs="Arial"/>
          <w:b/>
          <w:u w:val="single"/>
        </w:rPr>
      </w:pPr>
      <w:r>
        <w:rPr>
          <w:rFonts w:ascii="Arial" w:hAnsi="Arial"/>
          <w:b/>
          <w:u w:val="single"/>
        </w:rPr>
        <w:t>Directives</w:t>
      </w:r>
    </w:p>
    <w:p w14:paraId="2D25B8D9" w14:textId="6FB9FE3D" w:rsidR="004E471E" w:rsidRDefault="00725B6B" w:rsidP="00725B6B">
      <w:pPr>
        <w:rPr>
          <w:rFonts w:ascii="Arial" w:hAnsi="Arial" w:cs="Arial"/>
          <w:bCs/>
        </w:rPr>
      </w:pPr>
      <w:r>
        <w:rPr>
          <w:rFonts w:ascii="Arial" w:hAnsi="Arial"/>
        </w:rPr>
        <w:t>On vous a confié la responsabilité de rédiger la note d</w:t>
      </w:r>
      <w:r w:rsidR="002605CA">
        <w:rPr>
          <w:rFonts w:ascii="Arial" w:hAnsi="Arial"/>
        </w:rPr>
        <w:t>’</w:t>
      </w:r>
      <w:r>
        <w:rPr>
          <w:rFonts w:ascii="Arial" w:hAnsi="Arial"/>
        </w:rPr>
        <w:t>information pour le ministre. La note d</w:t>
      </w:r>
      <w:r w:rsidR="002605CA">
        <w:rPr>
          <w:rFonts w:ascii="Arial" w:hAnsi="Arial"/>
        </w:rPr>
        <w:t>’</w:t>
      </w:r>
      <w:r>
        <w:rPr>
          <w:rFonts w:ascii="Arial" w:hAnsi="Arial"/>
        </w:rPr>
        <w:t xml:space="preserve">information ne doit pas dépasser trois (3) pages et doit être à un niveau qui aidera le ministre à prendre une décision éclairée sur </w:t>
      </w:r>
      <w:r w:rsidR="006C604B">
        <w:rPr>
          <w:rFonts w:ascii="Arial" w:hAnsi="Arial"/>
        </w:rPr>
        <w:t xml:space="preserve">la nécessité </w:t>
      </w:r>
      <w:r>
        <w:rPr>
          <w:rFonts w:ascii="Arial" w:hAnsi="Arial"/>
        </w:rPr>
        <w:t>de mettre en place des mesures supplémentaires. Vous pouvez choisir n</w:t>
      </w:r>
      <w:r w:rsidR="002605CA">
        <w:rPr>
          <w:rFonts w:ascii="Arial" w:hAnsi="Arial"/>
        </w:rPr>
        <w:t>’</w:t>
      </w:r>
      <w:r>
        <w:rPr>
          <w:rFonts w:ascii="Arial" w:hAnsi="Arial"/>
        </w:rPr>
        <w:t>importe quel problème d</w:t>
      </w:r>
      <w:r w:rsidR="002605CA">
        <w:rPr>
          <w:rFonts w:ascii="Arial" w:hAnsi="Arial"/>
        </w:rPr>
        <w:t>’</w:t>
      </w:r>
      <w:r>
        <w:rPr>
          <w:rFonts w:ascii="Arial" w:hAnsi="Arial"/>
        </w:rPr>
        <w:t>instabilité auquel le secteur de l</w:t>
      </w:r>
      <w:r w:rsidR="002605CA">
        <w:rPr>
          <w:rFonts w:ascii="Arial" w:hAnsi="Arial"/>
        </w:rPr>
        <w:t>’</w:t>
      </w:r>
      <w:r>
        <w:rPr>
          <w:rFonts w:ascii="Arial" w:hAnsi="Arial"/>
        </w:rPr>
        <w:t>agriculture et de l</w:t>
      </w:r>
      <w:r w:rsidR="002605CA">
        <w:rPr>
          <w:rFonts w:ascii="Arial" w:hAnsi="Arial"/>
        </w:rPr>
        <w:t>’</w:t>
      </w:r>
      <w:r>
        <w:rPr>
          <w:rFonts w:ascii="Arial" w:hAnsi="Arial"/>
        </w:rPr>
        <w:t xml:space="preserve">agroalimentaire est </w:t>
      </w:r>
      <w:r w:rsidR="00331D20">
        <w:rPr>
          <w:rFonts w:ascii="Arial" w:hAnsi="Arial"/>
        </w:rPr>
        <w:t xml:space="preserve">confronté </w:t>
      </w:r>
      <w:r>
        <w:rPr>
          <w:rFonts w:ascii="Arial" w:hAnsi="Arial"/>
        </w:rPr>
        <w:t>ou pourrait être</w:t>
      </w:r>
      <w:r w:rsidR="00B44E3A">
        <w:rPr>
          <w:rFonts w:ascii="Arial" w:hAnsi="Arial"/>
        </w:rPr>
        <w:t xml:space="preserve"> confronté</w:t>
      </w:r>
      <w:r>
        <w:rPr>
          <w:rFonts w:ascii="Arial" w:hAnsi="Arial"/>
        </w:rPr>
        <w:t>. Si vous avez besoin d</w:t>
      </w:r>
      <w:r w:rsidR="002605CA">
        <w:rPr>
          <w:rFonts w:ascii="Arial" w:hAnsi="Arial"/>
        </w:rPr>
        <w:t>’</w:t>
      </w:r>
      <w:r>
        <w:rPr>
          <w:rFonts w:ascii="Arial" w:hAnsi="Arial"/>
        </w:rPr>
        <w:t xml:space="preserve">une suggestion, </w:t>
      </w:r>
      <w:r w:rsidR="00E57C53">
        <w:rPr>
          <w:rFonts w:ascii="Arial" w:hAnsi="Arial"/>
        </w:rPr>
        <w:t xml:space="preserve">consultez les </w:t>
      </w:r>
      <w:r>
        <w:rPr>
          <w:rFonts w:ascii="Arial" w:hAnsi="Arial"/>
        </w:rPr>
        <w:t>exemples de sujets</w:t>
      </w:r>
      <w:r w:rsidR="00E57C53">
        <w:rPr>
          <w:rFonts w:ascii="Arial" w:hAnsi="Arial"/>
        </w:rPr>
        <w:t xml:space="preserve"> </w:t>
      </w:r>
      <w:r w:rsidR="00AF58D3">
        <w:rPr>
          <w:rFonts w:ascii="Arial" w:hAnsi="Arial"/>
        </w:rPr>
        <w:t>ci-dessous</w:t>
      </w:r>
      <w:r>
        <w:rPr>
          <w:rFonts w:ascii="Arial" w:hAnsi="Arial"/>
        </w:rPr>
        <w:t>.</w:t>
      </w:r>
    </w:p>
    <w:p w14:paraId="510584F8" w14:textId="6A2B4DC4" w:rsidR="00725B6B" w:rsidRPr="00F665DA" w:rsidRDefault="004E471E" w:rsidP="00725B6B">
      <w:pPr>
        <w:rPr>
          <w:rFonts w:ascii="Arial" w:hAnsi="Arial" w:cs="Arial"/>
          <w:bCs/>
        </w:rPr>
      </w:pPr>
      <w:r>
        <w:rPr>
          <w:rFonts w:ascii="Arial" w:hAnsi="Arial"/>
        </w:rPr>
        <w:t xml:space="preserve">Des renseignements </w:t>
      </w:r>
      <w:r w:rsidR="00EF53B6">
        <w:rPr>
          <w:rFonts w:ascii="Arial" w:hAnsi="Arial"/>
        </w:rPr>
        <w:t xml:space="preserve">généraux </w:t>
      </w:r>
      <w:r>
        <w:rPr>
          <w:rFonts w:ascii="Arial" w:hAnsi="Arial"/>
        </w:rPr>
        <w:t>supplémentaires</w:t>
      </w:r>
      <w:r w:rsidR="00D02D70">
        <w:rPr>
          <w:rFonts w:ascii="Arial" w:hAnsi="Arial"/>
        </w:rPr>
        <w:t xml:space="preserve"> peuvent </w:t>
      </w:r>
      <w:r>
        <w:rPr>
          <w:rFonts w:ascii="Arial" w:hAnsi="Arial"/>
        </w:rPr>
        <w:t>être annexés au besoin (</w:t>
      </w:r>
      <w:r w:rsidR="00BA2A0C">
        <w:rPr>
          <w:rFonts w:ascii="Arial" w:hAnsi="Arial"/>
        </w:rPr>
        <w:t>soyez concis</w:t>
      </w:r>
      <w:r>
        <w:rPr>
          <w:rFonts w:ascii="Arial" w:hAnsi="Arial"/>
        </w:rPr>
        <w:t xml:space="preserve">) et </w:t>
      </w:r>
      <w:r w:rsidR="00BA2A0C">
        <w:rPr>
          <w:rFonts w:ascii="Arial" w:hAnsi="Arial"/>
        </w:rPr>
        <w:t>d</w:t>
      </w:r>
      <w:r>
        <w:rPr>
          <w:rFonts w:ascii="Arial" w:hAnsi="Arial"/>
        </w:rPr>
        <w:t>es données</w:t>
      </w:r>
      <w:r w:rsidR="00BA2A0C">
        <w:rPr>
          <w:rFonts w:ascii="Arial" w:hAnsi="Arial"/>
        </w:rPr>
        <w:t xml:space="preserve"> peuvent </w:t>
      </w:r>
      <w:r>
        <w:rPr>
          <w:rFonts w:ascii="Arial" w:hAnsi="Arial"/>
        </w:rPr>
        <w:t xml:space="preserve">être utilisées pour montrer les répercussions. Par exemple, un graphique pertinent </w:t>
      </w:r>
      <w:r w:rsidR="00F7250A">
        <w:rPr>
          <w:rFonts w:ascii="Arial" w:hAnsi="Arial"/>
        </w:rPr>
        <w:t>qui ne rentre pas dans la note d</w:t>
      </w:r>
      <w:r w:rsidR="002605CA">
        <w:rPr>
          <w:rFonts w:ascii="Arial" w:hAnsi="Arial"/>
        </w:rPr>
        <w:t>’</w:t>
      </w:r>
      <w:r w:rsidR="00F7250A">
        <w:rPr>
          <w:rFonts w:ascii="Arial" w:hAnsi="Arial"/>
        </w:rPr>
        <w:t xml:space="preserve">information </w:t>
      </w:r>
      <w:r w:rsidR="00CD798D">
        <w:rPr>
          <w:rFonts w:ascii="Arial" w:hAnsi="Arial"/>
        </w:rPr>
        <w:t xml:space="preserve">peut </w:t>
      </w:r>
      <w:r>
        <w:rPr>
          <w:rFonts w:ascii="Arial" w:hAnsi="Arial"/>
        </w:rPr>
        <w:t>être inclus dans l</w:t>
      </w:r>
      <w:r w:rsidR="002605CA">
        <w:rPr>
          <w:rFonts w:ascii="Arial" w:hAnsi="Arial"/>
        </w:rPr>
        <w:t>’</w:t>
      </w:r>
      <w:r>
        <w:rPr>
          <w:rFonts w:ascii="Arial" w:hAnsi="Arial"/>
        </w:rPr>
        <w:t>annexe.</w:t>
      </w:r>
    </w:p>
    <w:p w14:paraId="5BCAF8D5" w14:textId="08603BA8" w:rsidR="00725B6B" w:rsidRPr="00F665DA" w:rsidRDefault="00725B6B" w:rsidP="00725B6B">
      <w:pPr>
        <w:rPr>
          <w:rFonts w:ascii="Arial" w:hAnsi="Arial" w:cs="Arial"/>
          <w:bCs/>
        </w:rPr>
      </w:pPr>
      <w:r>
        <w:rPr>
          <w:rFonts w:ascii="Arial" w:hAnsi="Arial"/>
        </w:rPr>
        <w:t>Une note d</w:t>
      </w:r>
      <w:r w:rsidR="002605CA">
        <w:rPr>
          <w:rFonts w:ascii="Arial" w:hAnsi="Arial"/>
        </w:rPr>
        <w:t>’</w:t>
      </w:r>
      <w:r>
        <w:rPr>
          <w:rFonts w:ascii="Arial" w:hAnsi="Arial"/>
        </w:rPr>
        <w:t>information comprend plusieurs sections</w:t>
      </w:r>
      <w:r w:rsidR="00F8610D">
        <w:rPr>
          <w:rFonts w:ascii="Arial" w:hAnsi="Arial"/>
        </w:rPr>
        <w:t>,</w:t>
      </w:r>
      <w:r>
        <w:rPr>
          <w:rFonts w:ascii="Arial" w:hAnsi="Arial"/>
        </w:rPr>
        <w:t xml:space="preserve"> qui sont décrites dans le modèle ci-joint.</w:t>
      </w:r>
      <w:r w:rsidR="00973FBF">
        <w:rPr>
          <w:rFonts w:ascii="Arial" w:hAnsi="Arial"/>
        </w:rPr>
        <w:t xml:space="preserve"> </w:t>
      </w:r>
      <w:r>
        <w:rPr>
          <w:rFonts w:ascii="Arial" w:hAnsi="Arial"/>
        </w:rPr>
        <w:t xml:space="preserve">Chaque section de la note a un but précis, alors lisez attentivement les instructions sur le modèle. La section </w:t>
      </w:r>
      <w:r w:rsidR="00A87369">
        <w:rPr>
          <w:rFonts w:ascii="Arial" w:hAnsi="Arial"/>
        </w:rPr>
        <w:t>« </w:t>
      </w:r>
      <w:r w:rsidRPr="00A87369">
        <w:rPr>
          <w:rFonts w:ascii="Arial" w:hAnsi="Arial"/>
        </w:rPr>
        <w:t>Objet</w:t>
      </w:r>
      <w:r w:rsidR="00A87369">
        <w:rPr>
          <w:rFonts w:ascii="Arial" w:hAnsi="Arial"/>
        </w:rPr>
        <w:t> »</w:t>
      </w:r>
      <w:r>
        <w:rPr>
          <w:rFonts w:ascii="Arial" w:hAnsi="Arial"/>
        </w:rPr>
        <w:t xml:space="preserve"> </w:t>
      </w:r>
      <w:r w:rsidR="00135E96">
        <w:rPr>
          <w:rFonts w:ascii="Arial" w:hAnsi="Arial"/>
        </w:rPr>
        <w:t xml:space="preserve">résume le </w:t>
      </w:r>
      <w:r>
        <w:rPr>
          <w:rFonts w:ascii="Arial" w:hAnsi="Arial"/>
        </w:rPr>
        <w:t xml:space="preserve">sujet en une phrase. La section </w:t>
      </w:r>
      <w:r w:rsidR="00C87612">
        <w:rPr>
          <w:rFonts w:ascii="Arial" w:hAnsi="Arial"/>
        </w:rPr>
        <w:t>« </w:t>
      </w:r>
      <w:r>
        <w:rPr>
          <w:rFonts w:ascii="Arial" w:hAnsi="Arial"/>
        </w:rPr>
        <w:t>Contexte</w:t>
      </w:r>
      <w:r w:rsidR="00C87612">
        <w:rPr>
          <w:rFonts w:ascii="Arial" w:hAnsi="Arial"/>
        </w:rPr>
        <w:t> »</w:t>
      </w:r>
      <w:r>
        <w:rPr>
          <w:rFonts w:ascii="Arial" w:hAnsi="Arial"/>
        </w:rPr>
        <w:t xml:space="preserve"> sert à fournir des renseignements généraux sur le sujet. La section </w:t>
      </w:r>
      <w:r w:rsidR="00C87612">
        <w:rPr>
          <w:rFonts w:ascii="Arial" w:hAnsi="Arial"/>
        </w:rPr>
        <w:t>« </w:t>
      </w:r>
      <w:r>
        <w:rPr>
          <w:rFonts w:ascii="Arial" w:hAnsi="Arial"/>
        </w:rPr>
        <w:t>Considérations</w:t>
      </w:r>
      <w:r w:rsidR="00C87612">
        <w:rPr>
          <w:rFonts w:ascii="Arial" w:hAnsi="Arial"/>
        </w:rPr>
        <w:t> »</w:t>
      </w:r>
      <w:r>
        <w:rPr>
          <w:rFonts w:ascii="Arial" w:hAnsi="Arial"/>
        </w:rPr>
        <w:t xml:space="preserve"> peut être utilisée pour mettre en évidence </w:t>
      </w:r>
      <w:r w:rsidR="0004614F">
        <w:rPr>
          <w:rFonts w:ascii="Arial" w:hAnsi="Arial"/>
        </w:rPr>
        <w:t>l</w:t>
      </w:r>
      <w:r>
        <w:rPr>
          <w:rFonts w:ascii="Arial" w:hAnsi="Arial"/>
        </w:rPr>
        <w:t xml:space="preserve">es liens </w:t>
      </w:r>
      <w:r w:rsidR="00E65072">
        <w:rPr>
          <w:rFonts w:ascii="Arial" w:hAnsi="Arial"/>
        </w:rPr>
        <w:t xml:space="preserve">entre le sujet et </w:t>
      </w:r>
      <w:r>
        <w:rPr>
          <w:rFonts w:ascii="Arial" w:hAnsi="Arial"/>
        </w:rPr>
        <w:t>d</w:t>
      </w:r>
      <w:r w:rsidR="002605CA">
        <w:rPr>
          <w:rFonts w:ascii="Arial" w:hAnsi="Arial"/>
        </w:rPr>
        <w:t>’</w:t>
      </w:r>
      <w:r>
        <w:rPr>
          <w:rFonts w:ascii="Arial" w:hAnsi="Arial"/>
        </w:rPr>
        <w:t>autres enjeux et politiques à l</w:t>
      </w:r>
      <w:r w:rsidR="002605CA">
        <w:rPr>
          <w:rFonts w:ascii="Arial" w:hAnsi="Arial"/>
        </w:rPr>
        <w:t>’</w:t>
      </w:r>
      <w:r>
        <w:rPr>
          <w:rFonts w:ascii="Arial" w:hAnsi="Arial"/>
        </w:rPr>
        <w:t xml:space="preserve">échelle du ministère </w:t>
      </w:r>
      <w:r w:rsidR="00E65072">
        <w:rPr>
          <w:rFonts w:ascii="Arial" w:hAnsi="Arial"/>
        </w:rPr>
        <w:t xml:space="preserve">ou </w:t>
      </w:r>
      <w:r>
        <w:rPr>
          <w:rFonts w:ascii="Arial" w:hAnsi="Arial"/>
        </w:rPr>
        <w:t>du gouvernement, les réactions</w:t>
      </w:r>
      <w:r w:rsidR="00D50A5A">
        <w:rPr>
          <w:rFonts w:ascii="Arial" w:hAnsi="Arial"/>
        </w:rPr>
        <w:t xml:space="preserve"> </w:t>
      </w:r>
      <w:r>
        <w:rPr>
          <w:rFonts w:ascii="Arial" w:hAnsi="Arial"/>
        </w:rPr>
        <w:t>des intervenants</w:t>
      </w:r>
      <w:r w:rsidR="006053CE">
        <w:rPr>
          <w:rFonts w:ascii="Arial" w:hAnsi="Arial"/>
        </w:rPr>
        <w:t>,</w:t>
      </w:r>
      <w:r w:rsidR="00D50A5A">
        <w:rPr>
          <w:rFonts w:ascii="Arial" w:hAnsi="Arial"/>
        </w:rPr>
        <w:t xml:space="preserve"> </w:t>
      </w:r>
      <w:r w:rsidR="006053CE">
        <w:rPr>
          <w:rFonts w:ascii="Arial" w:hAnsi="Arial"/>
        </w:rPr>
        <w:t>les répercussions sur les intervenants</w:t>
      </w:r>
      <w:r>
        <w:rPr>
          <w:rFonts w:ascii="Arial" w:hAnsi="Arial"/>
        </w:rPr>
        <w:t>, le phénomène économique et d</w:t>
      </w:r>
      <w:r w:rsidR="002605CA">
        <w:rPr>
          <w:rFonts w:ascii="Arial" w:hAnsi="Arial"/>
        </w:rPr>
        <w:t>’</w:t>
      </w:r>
      <w:r>
        <w:rPr>
          <w:rFonts w:ascii="Arial" w:hAnsi="Arial"/>
        </w:rPr>
        <w:t xml:space="preserve">autres considérations pratiques. La section </w:t>
      </w:r>
      <w:r w:rsidR="00B02F4B">
        <w:rPr>
          <w:rFonts w:ascii="Arial" w:hAnsi="Arial"/>
        </w:rPr>
        <w:t>« O</w:t>
      </w:r>
      <w:r>
        <w:rPr>
          <w:rFonts w:ascii="Arial" w:hAnsi="Arial"/>
        </w:rPr>
        <w:t>ptions</w:t>
      </w:r>
      <w:r w:rsidR="00B02F4B">
        <w:rPr>
          <w:rFonts w:ascii="Arial" w:hAnsi="Arial"/>
        </w:rPr>
        <w:t> »</w:t>
      </w:r>
      <w:r>
        <w:rPr>
          <w:rFonts w:ascii="Arial" w:hAnsi="Arial"/>
        </w:rPr>
        <w:t xml:space="preserve"> peut être utilisée pour donner un aperçu de toutes les options que vous proposez</w:t>
      </w:r>
      <w:r w:rsidR="00B03472">
        <w:rPr>
          <w:rFonts w:ascii="Arial" w:hAnsi="Arial"/>
        </w:rPr>
        <w:t>; i</w:t>
      </w:r>
      <w:r>
        <w:rPr>
          <w:rFonts w:ascii="Arial" w:hAnsi="Arial"/>
        </w:rPr>
        <w:t>l est généralement préférable</w:t>
      </w:r>
      <w:r w:rsidR="00732EB4">
        <w:rPr>
          <w:rFonts w:ascii="Arial" w:hAnsi="Arial"/>
        </w:rPr>
        <w:t xml:space="preserve"> de </w:t>
      </w:r>
      <w:r w:rsidR="00F32BE8">
        <w:rPr>
          <w:rFonts w:ascii="Arial" w:hAnsi="Arial"/>
        </w:rPr>
        <w:t xml:space="preserve">présenter </w:t>
      </w:r>
      <w:r>
        <w:rPr>
          <w:rFonts w:ascii="Arial" w:hAnsi="Arial"/>
        </w:rPr>
        <w:t>jusqu</w:t>
      </w:r>
      <w:r w:rsidR="002605CA">
        <w:rPr>
          <w:rFonts w:ascii="Arial" w:hAnsi="Arial"/>
        </w:rPr>
        <w:t>’</w:t>
      </w:r>
      <w:r>
        <w:rPr>
          <w:rFonts w:ascii="Arial" w:hAnsi="Arial"/>
        </w:rPr>
        <w:t xml:space="preserve">à trois options. La section </w:t>
      </w:r>
      <w:r w:rsidR="00732EB4">
        <w:rPr>
          <w:rFonts w:ascii="Arial" w:hAnsi="Arial"/>
        </w:rPr>
        <w:t>« </w:t>
      </w:r>
      <w:r>
        <w:rPr>
          <w:rFonts w:ascii="Arial" w:hAnsi="Arial"/>
        </w:rPr>
        <w:t>Recommandation</w:t>
      </w:r>
      <w:r w:rsidR="00732EB4">
        <w:rPr>
          <w:rFonts w:ascii="Arial" w:hAnsi="Arial"/>
        </w:rPr>
        <w:t> »</w:t>
      </w:r>
      <w:r>
        <w:rPr>
          <w:rFonts w:ascii="Arial" w:hAnsi="Arial"/>
        </w:rPr>
        <w:t xml:space="preserve"> </w:t>
      </w:r>
      <w:r w:rsidR="007C1B96">
        <w:rPr>
          <w:rFonts w:ascii="Arial" w:hAnsi="Arial"/>
        </w:rPr>
        <w:t xml:space="preserve">vous permet de défendre </w:t>
      </w:r>
      <w:r>
        <w:rPr>
          <w:rFonts w:ascii="Arial" w:hAnsi="Arial"/>
        </w:rPr>
        <w:t>votre position sur les mesures (options) que vous proposez ou</w:t>
      </w:r>
      <w:r w:rsidR="00AF7BCC">
        <w:rPr>
          <w:rFonts w:ascii="Arial" w:hAnsi="Arial"/>
        </w:rPr>
        <w:t xml:space="preserve"> </w:t>
      </w:r>
      <w:r w:rsidR="00AF7BCC">
        <w:rPr>
          <w:rFonts w:ascii="Arial" w:hAnsi="Arial"/>
        </w:rPr>
        <w:lastRenderedPageBreak/>
        <w:t>d</w:t>
      </w:r>
      <w:r w:rsidR="002605CA">
        <w:rPr>
          <w:rFonts w:ascii="Arial" w:hAnsi="Arial"/>
        </w:rPr>
        <w:t>’</w:t>
      </w:r>
      <w:r w:rsidR="00AF7BCC">
        <w:rPr>
          <w:rFonts w:ascii="Arial" w:hAnsi="Arial"/>
        </w:rPr>
        <w:t xml:space="preserve">expliquer pourquoi </w:t>
      </w:r>
      <w:r>
        <w:rPr>
          <w:rFonts w:ascii="Arial" w:hAnsi="Arial"/>
        </w:rPr>
        <w:t>les mesures actuelles sont suffisantes. Il est préférable de</w:t>
      </w:r>
      <w:r w:rsidR="004F4CEE">
        <w:rPr>
          <w:rFonts w:ascii="Arial" w:hAnsi="Arial"/>
        </w:rPr>
        <w:t xml:space="preserve"> rédiger </w:t>
      </w:r>
      <w:r>
        <w:rPr>
          <w:rFonts w:ascii="Arial" w:hAnsi="Arial"/>
        </w:rPr>
        <w:t xml:space="preserve">la section </w:t>
      </w:r>
      <w:r w:rsidR="004F4CEE">
        <w:rPr>
          <w:rFonts w:ascii="Arial" w:hAnsi="Arial"/>
        </w:rPr>
        <w:t xml:space="preserve">« Résumé » </w:t>
      </w:r>
      <w:r>
        <w:rPr>
          <w:rFonts w:ascii="Arial" w:hAnsi="Arial"/>
        </w:rPr>
        <w:t>une fois que vous avez terminé le corps principal de la note d</w:t>
      </w:r>
      <w:r w:rsidR="002605CA">
        <w:rPr>
          <w:rFonts w:ascii="Arial" w:hAnsi="Arial"/>
        </w:rPr>
        <w:t>’</w:t>
      </w:r>
      <w:r>
        <w:rPr>
          <w:rFonts w:ascii="Arial" w:hAnsi="Arial"/>
        </w:rPr>
        <w:t>information</w:t>
      </w:r>
      <w:r w:rsidR="003F4159">
        <w:rPr>
          <w:rFonts w:ascii="Arial" w:hAnsi="Arial"/>
        </w:rPr>
        <w:t xml:space="preserve">. Cette section sert à </w:t>
      </w:r>
      <w:r w:rsidR="00CD0CC3">
        <w:rPr>
          <w:rFonts w:ascii="Arial" w:hAnsi="Arial"/>
        </w:rPr>
        <w:t xml:space="preserve">souligner </w:t>
      </w:r>
      <w:r>
        <w:rPr>
          <w:rFonts w:ascii="Arial" w:hAnsi="Arial"/>
        </w:rPr>
        <w:t>les messages clés et la recommandation.</w:t>
      </w:r>
    </w:p>
    <w:p w14:paraId="75004E50" w14:textId="13487AC0" w:rsidR="003101A9" w:rsidRPr="00D53158" w:rsidRDefault="00725B6B" w:rsidP="003101A9">
      <w:pPr>
        <w:rPr>
          <w:rFonts w:ascii="Arial" w:hAnsi="Arial" w:cs="Arial"/>
        </w:rPr>
      </w:pPr>
      <w:r>
        <w:rPr>
          <w:rFonts w:ascii="Arial" w:hAnsi="Arial"/>
        </w:rPr>
        <w:t xml:space="preserve">Veuillez inclure des références pour </w:t>
      </w:r>
      <w:r w:rsidR="00AC1DBF">
        <w:rPr>
          <w:rFonts w:ascii="Arial" w:hAnsi="Arial"/>
        </w:rPr>
        <w:t>tous les</w:t>
      </w:r>
      <w:r w:rsidR="00C3619A">
        <w:rPr>
          <w:rFonts w:ascii="Arial" w:hAnsi="Arial"/>
        </w:rPr>
        <w:t xml:space="preserve"> ouvrages </w:t>
      </w:r>
      <w:r w:rsidR="00AC1DBF">
        <w:rPr>
          <w:rFonts w:ascii="Arial" w:hAnsi="Arial"/>
        </w:rPr>
        <w:t xml:space="preserve">cités </w:t>
      </w:r>
      <w:r>
        <w:rPr>
          <w:rFonts w:ascii="Arial" w:hAnsi="Arial"/>
        </w:rPr>
        <w:t>dans l</w:t>
      </w:r>
      <w:r w:rsidR="002605CA">
        <w:rPr>
          <w:rFonts w:ascii="Arial" w:hAnsi="Arial"/>
        </w:rPr>
        <w:t>’</w:t>
      </w:r>
      <w:r>
        <w:rPr>
          <w:rFonts w:ascii="Arial" w:hAnsi="Arial"/>
        </w:rPr>
        <w:t>annexe à la fin du modèle. Il est préférable d</w:t>
      </w:r>
      <w:r w:rsidR="002605CA">
        <w:rPr>
          <w:rFonts w:ascii="Arial" w:hAnsi="Arial"/>
        </w:rPr>
        <w:t>’</w:t>
      </w:r>
      <w:r>
        <w:rPr>
          <w:rFonts w:ascii="Arial" w:hAnsi="Arial"/>
        </w:rPr>
        <w:t xml:space="preserve">utiliser des notes </w:t>
      </w:r>
      <w:r w:rsidR="001E688B">
        <w:rPr>
          <w:rFonts w:ascii="Arial" w:hAnsi="Arial"/>
        </w:rPr>
        <w:t>de</w:t>
      </w:r>
      <w:r>
        <w:rPr>
          <w:rFonts w:ascii="Arial" w:hAnsi="Arial"/>
        </w:rPr>
        <w:t xml:space="preserve"> bas de page pour </w:t>
      </w:r>
      <w:r w:rsidR="001F38CF">
        <w:rPr>
          <w:rFonts w:ascii="Arial" w:hAnsi="Arial"/>
        </w:rPr>
        <w:t>le</w:t>
      </w:r>
      <w:r>
        <w:rPr>
          <w:rFonts w:ascii="Arial" w:hAnsi="Arial"/>
        </w:rPr>
        <w:t xml:space="preserve">s citations </w:t>
      </w:r>
      <w:r w:rsidR="001E688B">
        <w:rPr>
          <w:rFonts w:ascii="Arial" w:hAnsi="Arial"/>
        </w:rPr>
        <w:t xml:space="preserve">figurant </w:t>
      </w:r>
      <w:r>
        <w:rPr>
          <w:rFonts w:ascii="Arial" w:hAnsi="Arial"/>
        </w:rPr>
        <w:t>dans le texte. Les références ne seront pas incluses dans le</w:t>
      </w:r>
      <w:r w:rsidR="00D53158">
        <w:rPr>
          <w:rFonts w:ascii="Arial" w:hAnsi="Arial"/>
        </w:rPr>
        <w:t xml:space="preserve"> nombre </w:t>
      </w:r>
      <w:r>
        <w:rPr>
          <w:rFonts w:ascii="Arial" w:hAnsi="Arial"/>
        </w:rPr>
        <w:t xml:space="preserve">de </w:t>
      </w:r>
      <w:r w:rsidRPr="00D53158">
        <w:rPr>
          <w:rFonts w:ascii="Arial" w:hAnsi="Arial" w:cs="Arial"/>
        </w:rPr>
        <w:t>pages de la note d</w:t>
      </w:r>
      <w:r w:rsidR="002605CA">
        <w:rPr>
          <w:rFonts w:ascii="Arial" w:hAnsi="Arial" w:cs="Arial"/>
        </w:rPr>
        <w:t>’</w:t>
      </w:r>
      <w:r w:rsidRPr="00D53158">
        <w:rPr>
          <w:rFonts w:ascii="Arial" w:hAnsi="Arial" w:cs="Arial"/>
        </w:rPr>
        <w:t>information.</w:t>
      </w:r>
    </w:p>
    <w:p w14:paraId="0F81DD65" w14:textId="556C1F14" w:rsidR="00725B6B" w:rsidRDefault="00725B6B" w:rsidP="00725B6B">
      <w:pPr>
        <w:rPr>
          <w:rFonts w:ascii="Arial" w:hAnsi="Arial" w:cs="Arial"/>
          <w:b/>
        </w:rPr>
      </w:pPr>
      <w:r>
        <w:rPr>
          <w:rFonts w:ascii="Arial" w:hAnsi="Arial"/>
          <w:b/>
        </w:rPr>
        <w:t>Veuillez utiliser le modèle de note d</w:t>
      </w:r>
      <w:r w:rsidR="002605CA">
        <w:rPr>
          <w:rFonts w:ascii="Arial" w:hAnsi="Arial"/>
          <w:b/>
        </w:rPr>
        <w:t>’</w:t>
      </w:r>
      <w:r>
        <w:rPr>
          <w:rFonts w:ascii="Arial" w:hAnsi="Arial"/>
          <w:b/>
        </w:rPr>
        <w:t>information ci-joint et l</w:t>
      </w:r>
      <w:r w:rsidR="002605CA">
        <w:rPr>
          <w:rFonts w:ascii="Arial" w:hAnsi="Arial"/>
          <w:b/>
        </w:rPr>
        <w:t>’</w:t>
      </w:r>
      <w:r>
        <w:rPr>
          <w:rFonts w:ascii="Arial" w:hAnsi="Arial"/>
          <w:b/>
        </w:rPr>
        <w:t xml:space="preserve">envoyer à Jennifer Vignola à </w:t>
      </w:r>
      <w:r w:rsidR="00722A2E">
        <w:rPr>
          <w:rFonts w:ascii="Arial" w:hAnsi="Arial"/>
          <w:b/>
        </w:rPr>
        <w:t>l</w:t>
      </w:r>
      <w:r w:rsidR="002605CA">
        <w:rPr>
          <w:rFonts w:ascii="Arial" w:hAnsi="Arial"/>
          <w:b/>
        </w:rPr>
        <w:t>’</w:t>
      </w:r>
      <w:r w:rsidR="00722A2E">
        <w:rPr>
          <w:rFonts w:ascii="Arial" w:hAnsi="Arial"/>
          <w:b/>
        </w:rPr>
        <w:t xml:space="preserve">adresse </w:t>
      </w:r>
      <w:r>
        <w:rPr>
          <w:rFonts w:ascii="Arial" w:hAnsi="Arial"/>
          <w:b/>
        </w:rPr>
        <w:t>jennifer.vignola@agr.gc.ca au plus tard le xx janvier 2025 à 14 h (HNE).</w:t>
      </w:r>
    </w:p>
    <w:p w14:paraId="15C7CFB3" w14:textId="269353C1" w:rsidR="00EC7EA8" w:rsidRPr="00EC7735" w:rsidRDefault="00EF2988" w:rsidP="00EC7EA8">
      <w:pPr>
        <w:rPr>
          <w:rFonts w:ascii="Arial" w:hAnsi="Arial" w:cs="Arial"/>
          <w:b/>
          <w:u w:val="single"/>
        </w:rPr>
      </w:pPr>
      <w:r>
        <w:rPr>
          <w:rFonts w:ascii="Arial" w:hAnsi="Arial"/>
          <w:b/>
          <w:u w:val="single"/>
        </w:rPr>
        <w:t>Exemples de sujets</w:t>
      </w:r>
    </w:p>
    <w:p w14:paraId="2D77C711" w14:textId="082DF376" w:rsidR="00EC7EA8" w:rsidRPr="00232556" w:rsidRDefault="00EC7EA8" w:rsidP="00EC7EA8">
      <w:pPr>
        <w:spacing w:before="240"/>
        <w:rPr>
          <w:rFonts w:ascii="Arial" w:hAnsi="Arial" w:cs="Arial"/>
        </w:rPr>
      </w:pPr>
      <w:r>
        <w:rPr>
          <w:rFonts w:ascii="Arial" w:hAnsi="Arial"/>
        </w:rPr>
        <w:t>Voici</w:t>
      </w:r>
      <w:r>
        <w:t xml:space="preserve"> </w:t>
      </w:r>
      <w:r>
        <w:rPr>
          <w:rFonts w:ascii="Arial" w:hAnsi="Arial"/>
        </w:rPr>
        <w:t xml:space="preserve">quelques exemples de sujets avec des références pour vous </w:t>
      </w:r>
      <w:r w:rsidR="00CC3257">
        <w:rPr>
          <w:rFonts w:ascii="Arial" w:hAnsi="Arial"/>
        </w:rPr>
        <w:t>donner un point de départ</w:t>
      </w:r>
      <w:r w:rsidR="004E32FD">
        <w:rPr>
          <w:rFonts w:ascii="Arial" w:hAnsi="Arial"/>
        </w:rPr>
        <w:t>.</w:t>
      </w:r>
    </w:p>
    <w:p w14:paraId="734F74E0" w14:textId="526AEB7A" w:rsidR="00B97D34" w:rsidRDefault="00B97D34" w:rsidP="00B97D34">
      <w:pPr>
        <w:rPr>
          <w:rFonts w:ascii="Arial" w:hAnsi="Arial" w:cs="Arial"/>
          <w:b/>
        </w:rPr>
      </w:pPr>
      <w:r>
        <w:rPr>
          <w:rFonts w:ascii="Arial" w:hAnsi="Arial"/>
          <w:b/>
        </w:rPr>
        <w:t>Sujet 1 : Les restrictions à l</w:t>
      </w:r>
      <w:r w:rsidR="002605CA">
        <w:rPr>
          <w:rFonts w:ascii="Arial" w:hAnsi="Arial"/>
          <w:b/>
        </w:rPr>
        <w:t>’</w:t>
      </w:r>
      <w:r>
        <w:rPr>
          <w:rFonts w:ascii="Arial" w:hAnsi="Arial"/>
          <w:b/>
        </w:rPr>
        <w:t>exportation et le secteur agroalimentaire canadien</w:t>
      </w:r>
    </w:p>
    <w:p w14:paraId="4B0D8AE7" w14:textId="030E190E" w:rsidR="00B97D34" w:rsidRPr="00B97D34" w:rsidRDefault="00B97D34" w:rsidP="00B97D34">
      <w:pPr>
        <w:rPr>
          <w:rFonts w:ascii="Arial" w:hAnsi="Arial" w:cs="Arial"/>
          <w:bCs/>
        </w:rPr>
      </w:pPr>
      <w:r>
        <w:rPr>
          <w:rFonts w:ascii="Arial" w:hAnsi="Arial"/>
        </w:rPr>
        <w:t xml:space="preserve">La réussite </w:t>
      </w:r>
      <w:r w:rsidR="00600E21" w:rsidRPr="00600E21">
        <w:rPr>
          <w:rFonts w:ascii="Arial" w:hAnsi="Arial"/>
        </w:rPr>
        <w:t xml:space="preserve">du secteur agricole canadien dépend fortement de </w:t>
      </w:r>
      <w:r w:rsidR="00600E21">
        <w:rPr>
          <w:rFonts w:ascii="Arial" w:hAnsi="Arial"/>
        </w:rPr>
        <w:t xml:space="preserve">sa </w:t>
      </w:r>
      <w:r w:rsidR="00600E21" w:rsidRPr="00600E21">
        <w:rPr>
          <w:rFonts w:ascii="Arial" w:hAnsi="Arial"/>
        </w:rPr>
        <w:t xml:space="preserve">capacité à exporter </w:t>
      </w:r>
      <w:r w:rsidR="00B9265B">
        <w:rPr>
          <w:rFonts w:ascii="Arial" w:hAnsi="Arial"/>
        </w:rPr>
        <w:t>vers d</w:t>
      </w:r>
      <w:r w:rsidR="002605CA">
        <w:rPr>
          <w:rFonts w:ascii="Arial" w:hAnsi="Arial"/>
        </w:rPr>
        <w:t>’</w:t>
      </w:r>
      <w:r w:rsidR="00B9265B">
        <w:rPr>
          <w:rFonts w:ascii="Arial" w:hAnsi="Arial"/>
        </w:rPr>
        <w:t xml:space="preserve">autres pays </w:t>
      </w:r>
      <w:r w:rsidR="00600E21" w:rsidRPr="00600E21">
        <w:rPr>
          <w:rFonts w:ascii="Arial" w:hAnsi="Arial"/>
        </w:rPr>
        <w:t>et le Canada est l</w:t>
      </w:r>
      <w:r w:rsidR="002605CA">
        <w:rPr>
          <w:rFonts w:ascii="Arial" w:hAnsi="Arial"/>
        </w:rPr>
        <w:t>’</w:t>
      </w:r>
      <w:r w:rsidR="00600E21" w:rsidRPr="00600E21">
        <w:rPr>
          <w:rFonts w:ascii="Arial" w:hAnsi="Arial"/>
        </w:rPr>
        <w:t>un des plus grands exportateurs de produits alimentaires au monde</w:t>
      </w:r>
      <w:r>
        <w:rPr>
          <w:rFonts w:ascii="Arial" w:hAnsi="Arial"/>
        </w:rPr>
        <w:t xml:space="preserve">. En 2023, le Canada a exporté pour près de </w:t>
      </w:r>
      <w:r w:rsidR="00C0717E">
        <w:rPr>
          <w:rFonts w:ascii="Arial" w:hAnsi="Arial"/>
        </w:rPr>
        <w:t>99,1</w:t>
      </w:r>
      <w:r>
        <w:rPr>
          <w:rFonts w:ascii="Arial" w:hAnsi="Arial"/>
        </w:rPr>
        <w:t xml:space="preserve"> milliards de dollars de produits agricoles et alimentaires (y compris les matières premières agricoles, le poisson et les</w:t>
      </w:r>
      <w:r w:rsidR="00EA71C7">
        <w:rPr>
          <w:rFonts w:ascii="Arial" w:hAnsi="Arial"/>
        </w:rPr>
        <w:t xml:space="preserve"> </w:t>
      </w:r>
      <w:r w:rsidR="00B716F4">
        <w:rPr>
          <w:rFonts w:ascii="Arial" w:hAnsi="Arial"/>
        </w:rPr>
        <w:t xml:space="preserve">fruits </w:t>
      </w:r>
      <w:r w:rsidR="00EA71C7">
        <w:rPr>
          <w:rFonts w:ascii="Arial" w:hAnsi="Arial"/>
        </w:rPr>
        <w:t xml:space="preserve">de </w:t>
      </w:r>
      <w:r>
        <w:rPr>
          <w:rFonts w:ascii="Arial" w:hAnsi="Arial"/>
        </w:rPr>
        <w:t>mer, et les aliments transformés).</w:t>
      </w:r>
      <w:r>
        <w:rPr>
          <w:rFonts w:ascii="Arial" w:hAnsi="Arial"/>
          <w:i/>
        </w:rPr>
        <w:t xml:space="preserve"> </w:t>
      </w:r>
      <w:r>
        <w:rPr>
          <w:rFonts w:ascii="Arial" w:hAnsi="Arial"/>
        </w:rPr>
        <w:t>Compte tenu de l</w:t>
      </w:r>
      <w:r w:rsidR="002605CA">
        <w:rPr>
          <w:rFonts w:ascii="Arial" w:hAnsi="Arial"/>
        </w:rPr>
        <w:t>’</w:t>
      </w:r>
      <w:r>
        <w:rPr>
          <w:rFonts w:ascii="Arial" w:hAnsi="Arial"/>
        </w:rPr>
        <w:t xml:space="preserve">importance des exportations pour le secteur, </w:t>
      </w:r>
      <w:r w:rsidR="004A7F4C">
        <w:rPr>
          <w:rFonts w:ascii="Arial" w:hAnsi="Arial"/>
        </w:rPr>
        <w:t xml:space="preserve">toute perturbation possible </w:t>
      </w:r>
      <w:r>
        <w:rPr>
          <w:rFonts w:ascii="Arial" w:hAnsi="Arial"/>
        </w:rPr>
        <w:t>du commerce,</w:t>
      </w:r>
      <w:r w:rsidR="00811A81">
        <w:rPr>
          <w:rFonts w:ascii="Arial" w:hAnsi="Arial"/>
        </w:rPr>
        <w:t xml:space="preserve"> notamment </w:t>
      </w:r>
      <w:r w:rsidR="00586E1C">
        <w:rPr>
          <w:rFonts w:ascii="Arial" w:hAnsi="Arial"/>
        </w:rPr>
        <w:t>l</w:t>
      </w:r>
      <w:r w:rsidR="002605CA">
        <w:rPr>
          <w:rFonts w:ascii="Arial" w:hAnsi="Arial"/>
        </w:rPr>
        <w:t>’</w:t>
      </w:r>
      <w:r w:rsidR="00586E1C">
        <w:rPr>
          <w:rFonts w:ascii="Arial" w:hAnsi="Arial"/>
        </w:rPr>
        <w:t xml:space="preserve">interruption des services de </w:t>
      </w:r>
      <w:r>
        <w:rPr>
          <w:rFonts w:ascii="Arial" w:hAnsi="Arial"/>
        </w:rPr>
        <w:t>transport, les maladies et d</w:t>
      </w:r>
      <w:r w:rsidR="002605CA">
        <w:rPr>
          <w:rFonts w:ascii="Arial" w:hAnsi="Arial"/>
        </w:rPr>
        <w:t>’</w:t>
      </w:r>
      <w:r>
        <w:rPr>
          <w:rFonts w:ascii="Arial" w:hAnsi="Arial"/>
        </w:rPr>
        <w:t>autres obstacles au commerce, comme les tarifs douaniers, peuvent avoir une incidence sur les producteurs et les chaînes d</w:t>
      </w:r>
      <w:r w:rsidR="002605CA">
        <w:rPr>
          <w:rFonts w:ascii="Arial" w:hAnsi="Arial"/>
        </w:rPr>
        <w:t>’</w:t>
      </w:r>
      <w:r>
        <w:rPr>
          <w:rFonts w:ascii="Arial" w:hAnsi="Arial"/>
        </w:rPr>
        <w:t>approvisionnement.</w:t>
      </w:r>
    </w:p>
    <w:p w14:paraId="1CABE544" w14:textId="50F2F4F6" w:rsidR="0001113B" w:rsidRPr="0001113B" w:rsidRDefault="00EF76FC" w:rsidP="0001113B">
      <w:pPr>
        <w:spacing w:after="0"/>
        <w:rPr>
          <w:rFonts w:ascii="Arial" w:hAnsi="Arial" w:cs="Arial"/>
          <w:bCs/>
        </w:rPr>
      </w:pPr>
      <w:hyperlink r:id="rId7" w:history="1">
        <w:r>
          <w:rPr>
            <w:rStyle w:val="Hyperlink"/>
            <w:rFonts w:ascii="Arial" w:hAnsi="Arial" w:cs="Arial"/>
            <w:bCs/>
          </w:rPr>
          <w:t>https://agriculture.canada.ca/fr/secteur/apercu</w:t>
        </w:r>
      </w:hyperlink>
    </w:p>
    <w:p w14:paraId="6F849394" w14:textId="2C60B76A" w:rsidR="00B97D34" w:rsidRPr="001D6127" w:rsidRDefault="00F53DF7" w:rsidP="0001113B">
      <w:pPr>
        <w:spacing w:after="0"/>
        <w:rPr>
          <w:rFonts w:ascii="Arial" w:hAnsi="Arial" w:cs="Arial"/>
          <w:bCs/>
        </w:rPr>
      </w:pPr>
      <w:hyperlink r:id="rId8" w:history="1">
        <w:r>
          <w:rPr>
            <w:rStyle w:val="Hyperlink"/>
            <w:rFonts w:ascii="Arial" w:hAnsi="Arial" w:cs="Arial"/>
            <w:bCs/>
          </w:rPr>
          <w:t>https://agriculture.canada.ca/fr/commerce-international</w:t>
        </w:r>
      </w:hyperlink>
    </w:p>
    <w:p w14:paraId="004C477A" w14:textId="77777777" w:rsidR="001D6127" w:rsidRDefault="001D6127" w:rsidP="00FA3D94">
      <w:pPr>
        <w:rPr>
          <w:rFonts w:ascii="Arial" w:hAnsi="Arial" w:cs="Arial"/>
          <w:b/>
        </w:rPr>
      </w:pPr>
    </w:p>
    <w:p w14:paraId="0F0558EA" w14:textId="3A7EDF0D" w:rsidR="00FA3D94" w:rsidRPr="00232556" w:rsidRDefault="00FA3D94" w:rsidP="00FA3D94">
      <w:pPr>
        <w:rPr>
          <w:rFonts w:ascii="Arial" w:hAnsi="Arial" w:cs="Arial"/>
          <w:b/>
        </w:rPr>
      </w:pPr>
      <w:r>
        <w:rPr>
          <w:rFonts w:ascii="Arial" w:hAnsi="Arial"/>
          <w:b/>
        </w:rPr>
        <w:t xml:space="preserve">Sujet 2 : </w:t>
      </w:r>
      <w:r w:rsidR="001B158E">
        <w:rPr>
          <w:rFonts w:ascii="Arial" w:hAnsi="Arial"/>
          <w:b/>
        </w:rPr>
        <w:t>La p</w:t>
      </w:r>
      <w:r>
        <w:rPr>
          <w:rFonts w:ascii="Arial" w:hAnsi="Arial"/>
          <w:b/>
        </w:rPr>
        <w:t xml:space="preserve">roductivité et </w:t>
      </w:r>
      <w:r w:rsidR="001B158E">
        <w:rPr>
          <w:rFonts w:ascii="Arial" w:hAnsi="Arial"/>
          <w:b/>
        </w:rPr>
        <w:t>l</w:t>
      </w:r>
      <w:r w:rsidR="002605CA">
        <w:rPr>
          <w:rFonts w:ascii="Arial" w:hAnsi="Arial"/>
          <w:b/>
        </w:rPr>
        <w:t>’</w:t>
      </w:r>
      <w:r>
        <w:rPr>
          <w:rFonts w:ascii="Arial" w:hAnsi="Arial"/>
          <w:b/>
        </w:rPr>
        <w:t xml:space="preserve">innovation dans la transformation des aliments </w:t>
      </w:r>
    </w:p>
    <w:p w14:paraId="495D3FAF" w14:textId="309BEBED" w:rsidR="00F10EA3" w:rsidRDefault="00FA3D94" w:rsidP="00F410C9">
      <w:pPr>
        <w:rPr>
          <w:rFonts w:ascii="Arial" w:hAnsi="Arial" w:cs="Arial"/>
        </w:rPr>
      </w:pPr>
      <w:r>
        <w:rPr>
          <w:rFonts w:ascii="Arial" w:hAnsi="Arial"/>
        </w:rPr>
        <w:t>Une forte productivité</w:t>
      </w:r>
      <w:r w:rsidR="00F07659">
        <w:rPr>
          <w:rFonts w:ascii="Arial" w:hAnsi="Arial"/>
        </w:rPr>
        <w:t>,</w:t>
      </w:r>
      <w:r>
        <w:rPr>
          <w:rFonts w:ascii="Arial" w:hAnsi="Arial"/>
        </w:rPr>
        <w:t xml:space="preserve"> qui </w:t>
      </w:r>
      <w:r w:rsidR="00FC63F9">
        <w:rPr>
          <w:rFonts w:ascii="Arial" w:hAnsi="Arial"/>
        </w:rPr>
        <w:t xml:space="preserve">se traduit par </w:t>
      </w:r>
      <w:r>
        <w:rPr>
          <w:rFonts w:ascii="Arial" w:hAnsi="Arial"/>
        </w:rPr>
        <w:t>une croissance plus rapide, un plus grand nombre d</w:t>
      </w:r>
      <w:r w:rsidR="002605CA">
        <w:rPr>
          <w:rFonts w:ascii="Arial" w:hAnsi="Arial"/>
        </w:rPr>
        <w:t>’</w:t>
      </w:r>
      <w:r>
        <w:rPr>
          <w:rFonts w:ascii="Arial" w:hAnsi="Arial"/>
        </w:rPr>
        <w:t>emplois et des salaires plus élevés</w:t>
      </w:r>
      <w:r w:rsidR="00E2669C">
        <w:rPr>
          <w:rFonts w:ascii="Arial" w:hAnsi="Arial"/>
        </w:rPr>
        <w:t xml:space="preserve">, </w:t>
      </w:r>
      <w:r>
        <w:rPr>
          <w:rFonts w:ascii="Arial" w:hAnsi="Arial"/>
        </w:rPr>
        <w:t>est un moyen important de protéger l</w:t>
      </w:r>
      <w:r w:rsidR="002605CA">
        <w:rPr>
          <w:rFonts w:ascii="Arial" w:hAnsi="Arial"/>
        </w:rPr>
        <w:t>’</w:t>
      </w:r>
      <w:r>
        <w:rPr>
          <w:rFonts w:ascii="Arial" w:hAnsi="Arial"/>
        </w:rPr>
        <w:t>économie contre les risques d</w:t>
      </w:r>
      <w:r w:rsidR="002605CA">
        <w:rPr>
          <w:rFonts w:ascii="Arial" w:hAnsi="Arial"/>
        </w:rPr>
        <w:t>’</w:t>
      </w:r>
      <w:r>
        <w:rPr>
          <w:rFonts w:ascii="Arial" w:hAnsi="Arial"/>
        </w:rPr>
        <w:t xml:space="preserve">une inflation élevée. La </w:t>
      </w:r>
      <w:r w:rsidR="00CC52DF">
        <w:rPr>
          <w:rFonts w:ascii="Arial" w:hAnsi="Arial"/>
        </w:rPr>
        <w:t xml:space="preserve">transformation </w:t>
      </w:r>
      <w:r>
        <w:rPr>
          <w:rFonts w:ascii="Arial" w:hAnsi="Arial"/>
        </w:rPr>
        <w:t>d</w:t>
      </w:r>
      <w:r w:rsidR="00604323">
        <w:rPr>
          <w:rFonts w:ascii="Arial" w:hAnsi="Arial"/>
        </w:rPr>
        <w:t xml:space="preserve">es </w:t>
      </w:r>
      <w:r>
        <w:rPr>
          <w:rFonts w:ascii="Arial" w:hAnsi="Arial"/>
        </w:rPr>
        <w:t>aliments représente le plus grand secteur manufacturier au Canada</w:t>
      </w:r>
      <w:r w:rsidR="00D76399">
        <w:rPr>
          <w:rFonts w:ascii="Arial" w:hAnsi="Arial"/>
        </w:rPr>
        <w:t xml:space="preserve"> et </w:t>
      </w:r>
      <w:r>
        <w:rPr>
          <w:rFonts w:ascii="Arial" w:hAnsi="Arial"/>
        </w:rPr>
        <w:t xml:space="preserve">a été présentée comme un secteur à fort potentiel de croissance par les tables </w:t>
      </w:r>
      <w:r w:rsidR="00F2657D">
        <w:rPr>
          <w:rFonts w:ascii="Arial" w:hAnsi="Arial"/>
        </w:rPr>
        <w:t xml:space="preserve">de consultation du </w:t>
      </w:r>
      <w:r>
        <w:rPr>
          <w:rFonts w:ascii="Arial" w:hAnsi="Arial"/>
        </w:rPr>
        <w:t>sect</w:t>
      </w:r>
      <w:r w:rsidR="00F2657D">
        <w:rPr>
          <w:rFonts w:ascii="Arial" w:hAnsi="Arial"/>
        </w:rPr>
        <w:t>eur</w:t>
      </w:r>
      <w:r>
        <w:rPr>
          <w:rFonts w:ascii="Arial" w:hAnsi="Arial"/>
        </w:rPr>
        <w:t>.</w:t>
      </w:r>
    </w:p>
    <w:p w14:paraId="5E15905F" w14:textId="35220C62" w:rsidR="00FE0E84" w:rsidRDefault="002F6833" w:rsidP="00F10EA3">
      <w:pPr>
        <w:spacing w:after="0"/>
        <w:rPr>
          <w:rFonts w:ascii="Arial" w:hAnsi="Arial" w:cs="Arial"/>
        </w:rPr>
      </w:pPr>
      <w:hyperlink r:id="rId9" w:history="1">
        <w:r>
          <w:rPr>
            <w:rStyle w:val="Hyperlink"/>
            <w:rFonts w:ascii="Arial" w:hAnsi="Arial"/>
          </w:rPr>
          <w:t>https://www150.statcan.gc.ca/n1/daily-quotidien/241209/dq241209c-fra.htm</w:t>
        </w:r>
      </w:hyperlink>
      <w:r w:rsidR="00F10EA3">
        <w:rPr>
          <w:rFonts w:ascii="Arial" w:hAnsi="Arial"/>
        </w:rPr>
        <w:t xml:space="preserve"> </w:t>
      </w:r>
    </w:p>
    <w:p w14:paraId="322131F7" w14:textId="58EA676D" w:rsidR="00FE0E84" w:rsidRDefault="00FE0E84" w:rsidP="00AA6B19">
      <w:pPr>
        <w:spacing w:after="0"/>
        <w:rPr>
          <w:rFonts w:ascii="Arial" w:hAnsi="Arial" w:cs="Arial"/>
        </w:rPr>
      </w:pPr>
      <w:hyperlink r:id="rId10" w:history="1">
        <w:r>
          <w:rPr>
            <w:rStyle w:val="Hyperlink"/>
            <w:rFonts w:ascii="Arial" w:hAnsi="Arial"/>
          </w:rPr>
          <w:t>https://agriculture.canada.ca/fr/ministere/initiatives/tables-engagement-sectoriel</w:t>
        </w:r>
      </w:hyperlink>
      <w:r>
        <w:rPr>
          <w:rFonts w:ascii="Arial" w:hAnsi="Arial"/>
        </w:rPr>
        <w:t xml:space="preserve"> </w:t>
      </w:r>
    </w:p>
    <w:p w14:paraId="3D7DD56E" w14:textId="3E1B5DDE" w:rsidR="00FA3D94" w:rsidRDefault="00FA3D94" w:rsidP="00AA6B19">
      <w:pPr>
        <w:spacing w:after="0"/>
        <w:rPr>
          <w:rFonts w:ascii="Arial" w:hAnsi="Arial" w:cs="Arial"/>
        </w:rPr>
      </w:pPr>
      <w:hyperlink r:id="rId11" w:history="1">
        <w:r>
          <w:rPr>
            <w:rStyle w:val="Hyperlink"/>
            <w:rFonts w:ascii="Arial" w:hAnsi="Arial"/>
          </w:rPr>
          <w:t>https://bpb-ca-c1.wpmucdn.com/sites.uoguelph.ca/dist/0/134/files/2022/01/Size-and-Productivity-in-the-Canadian-Food-Processing-Industry.pdf</w:t>
        </w:r>
      </w:hyperlink>
    </w:p>
    <w:p w14:paraId="49ED1686" w14:textId="2ABEEA80" w:rsidR="00FA3D94" w:rsidRPr="00475CAD" w:rsidRDefault="00FE0E84" w:rsidP="00AA6B19">
      <w:pPr>
        <w:spacing w:after="0"/>
        <w:rPr>
          <w:rFonts w:ascii="Arial" w:hAnsi="Arial" w:cs="Arial"/>
        </w:rPr>
      </w:pPr>
      <w:hyperlink r:id="rId12" w:history="1">
        <w:r>
          <w:rPr>
            <w:rStyle w:val="Hyperlink"/>
            <w:rFonts w:ascii="Arial" w:hAnsi="Arial"/>
          </w:rPr>
          <w:t>https://www.ivey.uwo.ca/media/3779172/sparling-cheney-food-manufacturing-performance-full-report-march-10.pdf</w:t>
        </w:r>
      </w:hyperlink>
      <w:r>
        <w:rPr>
          <w:rFonts w:ascii="Arial" w:hAnsi="Arial"/>
        </w:rPr>
        <w:t xml:space="preserve"> </w:t>
      </w:r>
    </w:p>
    <w:p w14:paraId="5E5BD6B7" w14:textId="77777777" w:rsidR="00B56203" w:rsidRPr="00963029" w:rsidRDefault="00B56203" w:rsidP="00AA6B19">
      <w:pPr>
        <w:rPr>
          <w:rFonts w:ascii="Arial" w:hAnsi="Arial" w:cs="Arial"/>
          <w:b/>
          <w:bCs/>
        </w:rPr>
      </w:pPr>
    </w:p>
    <w:p w14:paraId="38C36F16" w14:textId="27394723" w:rsidR="00AA6B19" w:rsidRPr="00AA6B19" w:rsidRDefault="00A41FFE" w:rsidP="00AA6B19">
      <w:pPr>
        <w:rPr>
          <w:rFonts w:ascii="Arial" w:hAnsi="Arial" w:cs="Arial"/>
          <w:b/>
          <w:bCs/>
        </w:rPr>
      </w:pPr>
      <w:r>
        <w:rPr>
          <w:rFonts w:ascii="Arial" w:hAnsi="Arial"/>
          <w:b/>
        </w:rPr>
        <w:t>Sujet 3 : Les p</w:t>
      </w:r>
      <w:r w:rsidR="00AA6B19">
        <w:rPr>
          <w:rFonts w:ascii="Arial" w:hAnsi="Arial"/>
          <w:b/>
        </w:rPr>
        <w:t>hénomènes météorologiques extrêmes</w:t>
      </w:r>
    </w:p>
    <w:p w14:paraId="3C8971DD" w14:textId="103141DF" w:rsidR="00AA6B19" w:rsidRPr="00AA6B19" w:rsidRDefault="00AA6B19" w:rsidP="00AA6B19">
      <w:pPr>
        <w:rPr>
          <w:rFonts w:ascii="Arial" w:hAnsi="Arial" w:cs="Arial"/>
        </w:rPr>
      </w:pPr>
      <w:r>
        <w:rPr>
          <w:rFonts w:ascii="Arial" w:hAnsi="Arial"/>
        </w:rPr>
        <w:lastRenderedPageBreak/>
        <w:t xml:space="preserve">On sait que les changements climatiques augmentent la fréquence et la gravité des phénomènes météorologiques extrêmes, comme les inondations et les sécheresses. </w:t>
      </w:r>
      <w:r w:rsidR="00E072D4" w:rsidRPr="00E072D4">
        <w:rPr>
          <w:rFonts w:ascii="Arial" w:hAnsi="Arial"/>
        </w:rPr>
        <w:t xml:space="preserve">Ces </w:t>
      </w:r>
      <w:r w:rsidR="00841788">
        <w:rPr>
          <w:rFonts w:ascii="Arial" w:hAnsi="Arial"/>
        </w:rPr>
        <w:t xml:space="preserve">phénomènes </w:t>
      </w:r>
      <w:r w:rsidR="00E072D4" w:rsidRPr="00E072D4">
        <w:rPr>
          <w:rFonts w:ascii="Arial" w:hAnsi="Arial"/>
        </w:rPr>
        <w:t>peuvent accroître l</w:t>
      </w:r>
      <w:r w:rsidR="002605CA">
        <w:rPr>
          <w:rFonts w:ascii="Arial" w:hAnsi="Arial"/>
        </w:rPr>
        <w:t>’</w:t>
      </w:r>
      <w:r w:rsidR="00E072D4" w:rsidRPr="00E072D4">
        <w:rPr>
          <w:rFonts w:ascii="Arial" w:hAnsi="Arial"/>
        </w:rPr>
        <w:t>imprévisibilité</w:t>
      </w:r>
      <w:r w:rsidR="00FD5488">
        <w:rPr>
          <w:rFonts w:ascii="Arial" w:hAnsi="Arial"/>
        </w:rPr>
        <w:t xml:space="preserve">, </w:t>
      </w:r>
      <w:r w:rsidR="00E072D4" w:rsidRPr="00E072D4">
        <w:rPr>
          <w:rFonts w:ascii="Arial" w:hAnsi="Arial"/>
        </w:rPr>
        <w:t>entraîner la perte ou l</w:t>
      </w:r>
      <w:r w:rsidR="00E27754">
        <w:rPr>
          <w:rFonts w:ascii="Arial" w:hAnsi="Arial"/>
        </w:rPr>
        <w:t>a</w:t>
      </w:r>
      <w:r w:rsidR="00E072D4" w:rsidRPr="00E072D4">
        <w:rPr>
          <w:rFonts w:ascii="Arial" w:hAnsi="Arial"/>
        </w:rPr>
        <w:t xml:space="preserve"> </w:t>
      </w:r>
      <w:r w:rsidR="00E27754">
        <w:rPr>
          <w:rFonts w:ascii="Arial" w:hAnsi="Arial"/>
        </w:rPr>
        <w:t xml:space="preserve">relocalisation </w:t>
      </w:r>
      <w:r w:rsidR="00E072D4" w:rsidRPr="00E072D4">
        <w:rPr>
          <w:rFonts w:ascii="Arial" w:hAnsi="Arial"/>
        </w:rPr>
        <w:t>d</w:t>
      </w:r>
      <w:r w:rsidR="003A5FC3">
        <w:rPr>
          <w:rFonts w:ascii="Arial" w:hAnsi="Arial"/>
        </w:rPr>
        <w:t>u</w:t>
      </w:r>
      <w:r w:rsidR="00E072D4" w:rsidRPr="00E072D4">
        <w:rPr>
          <w:rFonts w:ascii="Arial" w:hAnsi="Arial"/>
        </w:rPr>
        <w:t xml:space="preserve"> bétail</w:t>
      </w:r>
      <w:r w:rsidR="00FD5488">
        <w:rPr>
          <w:rFonts w:ascii="Arial" w:hAnsi="Arial"/>
        </w:rPr>
        <w:t xml:space="preserve"> et endommager les </w:t>
      </w:r>
      <w:r w:rsidR="00E072D4" w:rsidRPr="00E072D4">
        <w:rPr>
          <w:rFonts w:ascii="Arial" w:hAnsi="Arial"/>
        </w:rPr>
        <w:t>cultures. La fréquence et l</w:t>
      </w:r>
      <w:r w:rsidR="002605CA">
        <w:rPr>
          <w:rFonts w:ascii="Arial" w:hAnsi="Arial"/>
        </w:rPr>
        <w:t>’</w:t>
      </w:r>
      <w:r w:rsidR="00E072D4" w:rsidRPr="00E072D4">
        <w:rPr>
          <w:rFonts w:ascii="Arial" w:hAnsi="Arial"/>
        </w:rPr>
        <w:t xml:space="preserve">intensité </w:t>
      </w:r>
      <w:r w:rsidR="00375454">
        <w:rPr>
          <w:rFonts w:ascii="Arial" w:hAnsi="Arial"/>
        </w:rPr>
        <w:t xml:space="preserve">accrues </w:t>
      </w:r>
      <w:r w:rsidR="00E072D4" w:rsidRPr="00E072D4">
        <w:rPr>
          <w:rFonts w:ascii="Arial" w:hAnsi="Arial"/>
        </w:rPr>
        <w:t>des tempêtes p</w:t>
      </w:r>
      <w:r w:rsidR="00C40002">
        <w:rPr>
          <w:rFonts w:ascii="Arial" w:hAnsi="Arial"/>
        </w:rPr>
        <w:t xml:space="preserve">euvent </w:t>
      </w:r>
      <w:r w:rsidR="00E072D4" w:rsidRPr="00E072D4">
        <w:rPr>
          <w:rFonts w:ascii="Arial" w:hAnsi="Arial"/>
        </w:rPr>
        <w:t>entraîner des pannes d</w:t>
      </w:r>
      <w:r w:rsidR="002605CA">
        <w:rPr>
          <w:rFonts w:ascii="Arial" w:hAnsi="Arial"/>
        </w:rPr>
        <w:t>’</w:t>
      </w:r>
      <w:r w:rsidR="00E072D4" w:rsidRPr="00E072D4">
        <w:rPr>
          <w:rFonts w:ascii="Arial" w:hAnsi="Arial"/>
        </w:rPr>
        <w:t>électricité</w:t>
      </w:r>
      <w:r w:rsidR="00AE476F">
        <w:rPr>
          <w:rFonts w:ascii="Arial" w:hAnsi="Arial"/>
        </w:rPr>
        <w:t xml:space="preserve">, ce qui a une incidence sur </w:t>
      </w:r>
      <w:r w:rsidR="00E072D4" w:rsidRPr="00E072D4">
        <w:rPr>
          <w:rFonts w:ascii="Arial" w:hAnsi="Arial"/>
        </w:rPr>
        <w:t xml:space="preserve">les systèmes de chauffage et de refroidissement du bétail </w:t>
      </w:r>
      <w:r w:rsidR="00AE476F">
        <w:rPr>
          <w:rFonts w:ascii="Arial" w:hAnsi="Arial"/>
        </w:rPr>
        <w:t xml:space="preserve">et </w:t>
      </w:r>
      <w:r w:rsidR="00E072D4" w:rsidRPr="00E072D4">
        <w:rPr>
          <w:rFonts w:ascii="Arial" w:hAnsi="Arial"/>
        </w:rPr>
        <w:t>les systèmes automatisés d</w:t>
      </w:r>
      <w:r w:rsidR="002605CA">
        <w:rPr>
          <w:rFonts w:ascii="Arial" w:hAnsi="Arial"/>
        </w:rPr>
        <w:t>’</w:t>
      </w:r>
      <w:r w:rsidR="00E072D4" w:rsidRPr="00E072D4">
        <w:rPr>
          <w:rFonts w:ascii="Arial" w:hAnsi="Arial"/>
        </w:rPr>
        <w:t>alimentation et de traite.</w:t>
      </w:r>
    </w:p>
    <w:p w14:paraId="168EFE31" w14:textId="2775E3C6" w:rsidR="009E5833" w:rsidRDefault="00AA6B19" w:rsidP="00AA6B19">
      <w:pPr>
        <w:spacing w:after="0"/>
        <w:rPr>
          <w:rFonts w:ascii="Arial" w:hAnsi="Arial" w:cs="Arial"/>
        </w:rPr>
      </w:pPr>
      <w:hyperlink r:id="rId13" w:history="1">
        <w:r>
          <w:rPr>
            <w:rStyle w:val="Hyperlink"/>
            <w:rFonts w:ascii="Arial" w:hAnsi="Arial"/>
          </w:rPr>
          <w:t>https://agriculture.canada.ca/en/environment/climate-change/climate-change-impacts-agriculture</w:t>
        </w:r>
      </w:hyperlink>
    </w:p>
    <w:p w14:paraId="00209080" w14:textId="77777777" w:rsidR="00B56203" w:rsidRDefault="00B56203" w:rsidP="00AA6B19">
      <w:pPr>
        <w:spacing w:after="0"/>
        <w:rPr>
          <w:rFonts w:ascii="Arial" w:hAnsi="Arial" w:cs="Arial"/>
        </w:rPr>
      </w:pPr>
    </w:p>
    <w:p w14:paraId="2EE72714" w14:textId="6FC59D19" w:rsidR="00B56203" w:rsidRPr="00232556" w:rsidRDefault="00274BAE" w:rsidP="00B56203">
      <w:pPr>
        <w:rPr>
          <w:rFonts w:ascii="Arial" w:hAnsi="Arial" w:cs="Arial"/>
          <w:b/>
        </w:rPr>
      </w:pPr>
      <w:r>
        <w:rPr>
          <w:rFonts w:ascii="Arial" w:hAnsi="Arial"/>
          <w:b/>
        </w:rPr>
        <w:t>Sujet 4 : L</w:t>
      </w:r>
      <w:r w:rsidR="002605CA">
        <w:rPr>
          <w:rFonts w:ascii="Arial" w:hAnsi="Arial"/>
          <w:b/>
        </w:rPr>
        <w:t>’</w:t>
      </w:r>
      <w:r>
        <w:rPr>
          <w:rFonts w:ascii="Arial" w:hAnsi="Arial"/>
          <w:b/>
        </w:rPr>
        <w:t>i</w:t>
      </w:r>
      <w:r w:rsidR="00B56203">
        <w:rPr>
          <w:rFonts w:ascii="Arial" w:hAnsi="Arial"/>
          <w:b/>
        </w:rPr>
        <w:t xml:space="preserve">nflation et </w:t>
      </w:r>
      <w:r>
        <w:rPr>
          <w:rFonts w:ascii="Arial" w:hAnsi="Arial"/>
          <w:b/>
        </w:rPr>
        <w:t xml:space="preserve">les </w:t>
      </w:r>
      <w:r w:rsidR="00B56203">
        <w:rPr>
          <w:rFonts w:ascii="Arial" w:hAnsi="Arial"/>
          <w:b/>
        </w:rPr>
        <w:t>prix des aliments</w:t>
      </w:r>
    </w:p>
    <w:p w14:paraId="74D2FCD5" w14:textId="17F09433" w:rsidR="00B56203" w:rsidRDefault="00B56203" w:rsidP="00B56203">
      <w:pPr>
        <w:rPr>
          <w:rFonts w:ascii="Arial" w:hAnsi="Arial" w:cs="Arial"/>
        </w:rPr>
      </w:pPr>
      <w:r>
        <w:rPr>
          <w:rFonts w:ascii="Arial" w:hAnsi="Arial"/>
        </w:rPr>
        <w:t>L</w:t>
      </w:r>
      <w:r w:rsidR="002605CA">
        <w:rPr>
          <w:rFonts w:ascii="Arial" w:hAnsi="Arial"/>
        </w:rPr>
        <w:t>’</w:t>
      </w:r>
      <w:r>
        <w:rPr>
          <w:rFonts w:ascii="Arial" w:hAnsi="Arial"/>
        </w:rPr>
        <w:t xml:space="preserve">indice des prix à la consommation (IPC) est la mesure la plus pertinente du coût de la vie pour la plupart des Canadiens, car il se compose de biens et de services que les Canadiens achètent habituellement. Les ménages vulnérables sur le plan économique </w:t>
      </w:r>
      <w:r w:rsidR="00316B4F">
        <w:rPr>
          <w:rFonts w:ascii="Arial" w:hAnsi="Arial"/>
        </w:rPr>
        <w:t xml:space="preserve">ont </w:t>
      </w:r>
      <w:r w:rsidR="00316B4F" w:rsidRPr="00316B4F">
        <w:rPr>
          <w:rFonts w:ascii="Arial" w:hAnsi="Arial"/>
        </w:rPr>
        <w:t xml:space="preserve">plus de difficulté à </w:t>
      </w:r>
      <w:r>
        <w:rPr>
          <w:rFonts w:ascii="Arial" w:hAnsi="Arial"/>
        </w:rPr>
        <w:t>s</w:t>
      </w:r>
      <w:r w:rsidR="002605CA">
        <w:rPr>
          <w:rFonts w:ascii="Arial" w:hAnsi="Arial"/>
        </w:rPr>
        <w:t>’</w:t>
      </w:r>
      <w:r>
        <w:rPr>
          <w:rFonts w:ascii="Arial" w:hAnsi="Arial"/>
        </w:rPr>
        <w:t>adapter à l</w:t>
      </w:r>
      <w:r w:rsidR="002605CA">
        <w:rPr>
          <w:rFonts w:ascii="Arial" w:hAnsi="Arial"/>
        </w:rPr>
        <w:t>’</w:t>
      </w:r>
      <w:r>
        <w:rPr>
          <w:rFonts w:ascii="Arial" w:hAnsi="Arial"/>
        </w:rPr>
        <w:t xml:space="preserve">inflation rapide des prix </w:t>
      </w:r>
      <w:r w:rsidR="009E4ED6">
        <w:rPr>
          <w:rFonts w:ascii="Arial" w:hAnsi="Arial"/>
        </w:rPr>
        <w:t xml:space="preserve">des </w:t>
      </w:r>
      <w:r>
        <w:rPr>
          <w:rFonts w:ascii="Arial" w:hAnsi="Arial"/>
        </w:rPr>
        <w:t>aliments. Les Canadiens font face à de nombreuses pressions qui ont une incidence sur leur sécurité alimentaire.</w:t>
      </w:r>
    </w:p>
    <w:p w14:paraId="5D3A7E06" w14:textId="4D5B4B18" w:rsidR="00B56203" w:rsidRDefault="00A52A0B" w:rsidP="00B56203">
      <w:pPr>
        <w:spacing w:after="0"/>
        <w:rPr>
          <w:rFonts w:ascii="Arial" w:hAnsi="Arial" w:cs="Arial"/>
        </w:rPr>
      </w:pPr>
      <w:hyperlink r:id="rId14" w:history="1">
        <w:r>
          <w:rPr>
            <w:rStyle w:val="Hyperlink"/>
            <w:rFonts w:ascii="Arial" w:hAnsi="Arial"/>
          </w:rPr>
          <w:t>https://www150.statcan.gc.ca/n1/daily-quotidien/241010/dq241010a-fra.htm</w:t>
        </w:r>
      </w:hyperlink>
    </w:p>
    <w:p w14:paraId="280195C1" w14:textId="3ED1C0D4" w:rsidR="00B56203" w:rsidRDefault="0034706B" w:rsidP="00B56203">
      <w:pPr>
        <w:spacing w:after="0"/>
        <w:rPr>
          <w:rFonts w:ascii="Arial" w:hAnsi="Arial" w:cs="Arial"/>
        </w:rPr>
      </w:pPr>
      <w:hyperlink r:id="rId15" w:history="1">
        <w:r>
          <w:rPr>
            <w:rStyle w:val="Hyperlink"/>
            <w:rFonts w:ascii="Arial" w:hAnsi="Arial"/>
          </w:rPr>
          <w:t>https://www150.statcan.gc.ca/t1/tbl1/fr/cv.action?pid=1810000401&amp;request_locale=fr</w:t>
        </w:r>
      </w:hyperlink>
    </w:p>
    <w:p w14:paraId="5FDAE454" w14:textId="7E5CBF86" w:rsidR="00B56203" w:rsidRDefault="00BD6230" w:rsidP="00B56203">
      <w:pPr>
        <w:spacing w:after="0"/>
        <w:rPr>
          <w:rFonts w:ascii="Arial" w:hAnsi="Arial" w:cs="Arial"/>
        </w:rPr>
      </w:pPr>
      <w:hyperlink r:id="rId16" w:history="1">
        <w:r>
          <w:rPr>
            <w:rStyle w:val="Hyperlink"/>
            <w:rFonts w:ascii="Arial" w:hAnsi="Arial"/>
          </w:rPr>
          <w:t>https://www150.statcan.gc.ca/n1/pub/75-006-x/2023001/article/00002-fra.htm</w:t>
        </w:r>
      </w:hyperlink>
    </w:p>
    <w:p w14:paraId="442DDF95" w14:textId="77777777" w:rsidR="00B56203" w:rsidRPr="00B56203" w:rsidRDefault="00B56203" w:rsidP="00AA6B19">
      <w:pPr>
        <w:spacing w:after="0"/>
        <w:rPr>
          <w:rFonts w:ascii="Arial" w:hAnsi="Arial" w:cs="Arial"/>
        </w:rPr>
      </w:pPr>
    </w:p>
    <w:sectPr w:rsidR="00B56203" w:rsidRPr="00B5620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EB0C" w14:textId="77777777" w:rsidR="00F623AF" w:rsidRDefault="00F623AF" w:rsidP="003E692C">
      <w:pPr>
        <w:spacing w:after="0" w:line="240" w:lineRule="auto"/>
      </w:pPr>
      <w:r>
        <w:separator/>
      </w:r>
    </w:p>
  </w:endnote>
  <w:endnote w:type="continuationSeparator" w:id="0">
    <w:p w14:paraId="53CFCF25" w14:textId="77777777" w:rsidR="00F623AF" w:rsidRDefault="00F623AF" w:rsidP="003E692C">
      <w:pPr>
        <w:spacing w:after="0" w:line="240" w:lineRule="auto"/>
      </w:pPr>
      <w:r>
        <w:continuationSeparator/>
      </w:r>
    </w:p>
  </w:endnote>
  <w:endnote w:type="continuationNotice" w:id="1">
    <w:p w14:paraId="59E88F7C" w14:textId="77777777" w:rsidR="00F623AF" w:rsidRDefault="00F62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F9DF" w14:textId="77777777" w:rsidR="008B1853" w:rsidRDefault="008B1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60F2" w14:textId="77777777" w:rsidR="008B1853" w:rsidRDefault="008B1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230E" w14:textId="77777777" w:rsidR="008B1853" w:rsidRDefault="008B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68CE" w14:textId="77777777" w:rsidR="00F623AF" w:rsidRDefault="00F623AF" w:rsidP="003E692C">
      <w:pPr>
        <w:spacing w:after="0" w:line="240" w:lineRule="auto"/>
      </w:pPr>
      <w:r>
        <w:separator/>
      </w:r>
    </w:p>
  </w:footnote>
  <w:footnote w:type="continuationSeparator" w:id="0">
    <w:p w14:paraId="54A41709" w14:textId="77777777" w:rsidR="00F623AF" w:rsidRDefault="00F623AF" w:rsidP="003E692C">
      <w:pPr>
        <w:spacing w:after="0" w:line="240" w:lineRule="auto"/>
      </w:pPr>
      <w:r>
        <w:continuationSeparator/>
      </w:r>
    </w:p>
  </w:footnote>
  <w:footnote w:type="continuationNotice" w:id="1">
    <w:p w14:paraId="4D37FE5F" w14:textId="77777777" w:rsidR="00F623AF" w:rsidRDefault="00F62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A19E" w14:textId="4D038C5A" w:rsidR="003E692C" w:rsidRDefault="003E692C">
    <w:pPr>
      <w:pStyle w:val="Header"/>
    </w:pPr>
    <w:r>
      <w:rPr>
        <w:noProof/>
      </w:rPr>
      <mc:AlternateContent>
        <mc:Choice Requires="wps">
          <w:drawing>
            <wp:anchor distT="0" distB="0" distL="0" distR="0" simplePos="0" relativeHeight="251658241" behindDoc="0" locked="0" layoutInCell="1" allowOverlap="1" wp14:anchorId="1C2C4831" wp14:editId="0B204AF6">
              <wp:simplePos x="635" y="635"/>
              <wp:positionH relativeFrom="page">
                <wp:align>right</wp:align>
              </wp:positionH>
              <wp:positionV relativeFrom="page">
                <wp:align>top</wp:align>
              </wp:positionV>
              <wp:extent cx="1626870" cy="368935"/>
              <wp:effectExtent l="0" t="0" r="0" b="12065"/>
              <wp:wrapNone/>
              <wp:docPr id="132511994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68935"/>
                      </a:xfrm>
                      <a:prstGeom prst="rect">
                        <a:avLst/>
                      </a:prstGeom>
                      <a:noFill/>
                      <a:ln>
                        <a:noFill/>
                      </a:ln>
                    </wps:spPr>
                    <wps:txbx>
                      <w:txbxContent>
                        <w:p w14:paraId="3696CAE0" w14:textId="51F1D142" w:rsidR="003E692C" w:rsidRPr="003E692C" w:rsidRDefault="003E692C" w:rsidP="003E692C">
                          <w:pPr>
                            <w:spacing w:after="0"/>
                            <w:rPr>
                              <w:rFonts w:ascii="Calibri" w:eastAsia="Calibri" w:hAnsi="Calibri" w:cs="Calibri"/>
                              <w:noProof/>
                              <w:color w:val="000000"/>
                              <w:sz w:val="20"/>
                              <w:szCs w:val="20"/>
                            </w:rPr>
                          </w:pPr>
                          <w:r>
                            <w:rPr>
                              <w:rFonts w:ascii="Calibri" w:hAnsi="Calibri"/>
                              <w:color w:val="000000"/>
                              <w:sz w:val="20"/>
                            </w:rPr>
                            <w:t xml:space="preserve">Non classifié / </w:t>
                          </w:r>
                          <w:proofErr w:type="spellStart"/>
                          <w:r>
                            <w:rPr>
                              <w:rFonts w:ascii="Calibri" w:hAnsi="Calibri"/>
                              <w:color w:val="000000"/>
                              <w:sz w:val="20"/>
                            </w:rPr>
                            <w:t>Unclassified</w:t>
                          </w:r>
                          <w:proofErr w:type="spellEnd"/>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2C4831" id="_x0000_t202" coordsize="21600,21600" o:spt="202" path="m,l,21600r21600,l21600,xe">
              <v:stroke joinstyle="miter"/>
              <v:path gradientshapeok="t" o:connecttype="rect"/>
            </v:shapetype>
            <v:shape id="Text Box 2" o:spid="_x0000_s1026" type="#_x0000_t202" alt="Unclassified / Non classifié" style="position:absolute;margin-left:88.1pt;margin-top:0;width:128.1pt;height:29.0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" filled="f" stroked="f">
              <v:textbox style="mso-fit-shape-to-text:t" inset="0,15pt,20pt,0">
                <w:txbxContent>
                  <w:p w14:paraId="3696CAE0" w14:textId="51F1D142" w:rsidR="003E692C" w:rsidRPr="003E692C" w:rsidRDefault="003E692C" w:rsidP="003E692C">
                    <w:pPr>
                      <w:spacing w:after="0"/>
                      <w:rPr>
                        <w:rFonts w:ascii="Calibri" w:eastAsia="Calibri" w:hAnsi="Calibri" w:cs="Calibri"/>
                        <w:noProof/>
                        <w:color w:val="000000"/>
                        <w:sz w:val="20"/>
                        <w:szCs w:val="20"/>
                      </w:rPr>
                    </w:pPr>
                    <w:r>
                      <w:rPr>
                        <w:rFonts w:ascii="Calibri" w:hAnsi="Calibri"/>
                        <w:color w:val="000000"/>
                        <w:sz w:val="20"/>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8396" w14:textId="20FAB519" w:rsidR="003E692C" w:rsidRDefault="003E692C">
    <w:pPr>
      <w:pStyle w:val="Header"/>
    </w:pPr>
    <w:r>
      <w:rPr>
        <w:noProof/>
      </w:rPr>
      <mc:AlternateContent>
        <mc:Choice Requires="wps">
          <w:drawing>
            <wp:anchor distT="0" distB="0" distL="0" distR="0" simplePos="0" relativeHeight="251658242" behindDoc="0" locked="0" layoutInCell="1" allowOverlap="1" wp14:anchorId="4D025247" wp14:editId="3120635D">
              <wp:simplePos x="914400" y="457200"/>
              <wp:positionH relativeFrom="page">
                <wp:align>right</wp:align>
              </wp:positionH>
              <wp:positionV relativeFrom="page">
                <wp:align>top</wp:align>
              </wp:positionV>
              <wp:extent cx="1626870" cy="368935"/>
              <wp:effectExtent l="0" t="0" r="0" b="12065"/>
              <wp:wrapNone/>
              <wp:docPr id="168760953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68935"/>
                      </a:xfrm>
                      <a:prstGeom prst="rect">
                        <a:avLst/>
                      </a:prstGeom>
                      <a:noFill/>
                      <a:ln>
                        <a:noFill/>
                      </a:ln>
                    </wps:spPr>
                    <wps:txbx>
                      <w:txbxContent>
                        <w:p w14:paraId="0A95689B" w14:textId="20DABC9B" w:rsidR="003E692C" w:rsidRPr="003E692C" w:rsidRDefault="003E692C" w:rsidP="003E692C">
                          <w:pPr>
                            <w:spacing w:after="0"/>
                            <w:rPr>
                              <w:rFonts w:ascii="Calibri" w:eastAsia="Calibri" w:hAnsi="Calibri" w:cs="Calibri"/>
                              <w:noProof/>
                              <w:color w:val="000000"/>
                              <w:sz w:val="20"/>
                              <w:szCs w:val="20"/>
                            </w:rPr>
                          </w:pPr>
                          <w:r>
                            <w:rPr>
                              <w:rFonts w:ascii="Calibri" w:hAnsi="Calibri"/>
                              <w:color w:val="000000"/>
                              <w:sz w:val="20"/>
                            </w:rPr>
                            <w:t xml:space="preserve">Non classifié / </w:t>
                          </w:r>
                          <w:proofErr w:type="spellStart"/>
                          <w:r>
                            <w:rPr>
                              <w:rFonts w:ascii="Calibri" w:hAnsi="Calibri"/>
                              <w:color w:val="000000"/>
                              <w:sz w:val="20"/>
                            </w:rPr>
                            <w:t>Unclassified</w:t>
                          </w:r>
                          <w:proofErr w:type="spellEnd"/>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025247" id="_x0000_t202" coordsize="21600,21600" o:spt="202" path="m,l,21600r21600,l21600,xe">
              <v:stroke joinstyle="miter"/>
              <v:path gradientshapeok="t" o:connecttype="rect"/>
            </v:shapetype>
            <v:shape id="Text Box 3" o:spid="_x0000_s1027" type="#_x0000_t202" alt="Unclassified / Non classifié" style="position:absolute;margin-left:88.1pt;margin-top:0;width:128.1pt;height:29.0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" filled="f" stroked="f">
              <v:textbox style="mso-fit-shape-to-text:t" inset="0,15pt,20pt,0">
                <w:txbxContent>
                  <w:p w14:paraId="0A95689B" w14:textId="20DABC9B" w:rsidR="003E692C" w:rsidRPr="003E692C" w:rsidRDefault="003E692C" w:rsidP="003E692C">
                    <w:pPr>
                      <w:spacing w:after="0"/>
                      <w:rPr>
                        <w:rFonts w:ascii="Calibri" w:eastAsia="Calibri" w:hAnsi="Calibri" w:cs="Calibri"/>
                        <w:noProof/>
                        <w:color w:val="000000"/>
                        <w:sz w:val="20"/>
                        <w:szCs w:val="20"/>
                      </w:rPr>
                    </w:pPr>
                    <w:r>
                      <w:rPr>
                        <w:rFonts w:ascii="Calibri" w:hAnsi="Calibri"/>
                        <w:color w:val="000000"/>
                        <w:sz w:val="20"/>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1DDD" w14:textId="506E756A" w:rsidR="003E692C" w:rsidRDefault="003E692C">
    <w:pPr>
      <w:pStyle w:val="Header"/>
    </w:pPr>
    <w:r>
      <w:rPr>
        <w:noProof/>
      </w:rPr>
      <mc:AlternateContent>
        <mc:Choice Requires="wps">
          <w:drawing>
            <wp:anchor distT="0" distB="0" distL="0" distR="0" simplePos="0" relativeHeight="251658240" behindDoc="0" locked="0" layoutInCell="1" allowOverlap="1" wp14:anchorId="389B4C68" wp14:editId="3DC891BB">
              <wp:simplePos x="635" y="635"/>
              <wp:positionH relativeFrom="page">
                <wp:align>right</wp:align>
              </wp:positionH>
              <wp:positionV relativeFrom="page">
                <wp:align>top</wp:align>
              </wp:positionV>
              <wp:extent cx="1626870" cy="368935"/>
              <wp:effectExtent l="0" t="0" r="0" b="12065"/>
              <wp:wrapNone/>
              <wp:docPr id="1723455883"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68935"/>
                      </a:xfrm>
                      <a:prstGeom prst="rect">
                        <a:avLst/>
                      </a:prstGeom>
                      <a:noFill/>
                      <a:ln>
                        <a:noFill/>
                      </a:ln>
                    </wps:spPr>
                    <wps:txbx>
                      <w:txbxContent>
                        <w:p w14:paraId="0C68EF19" w14:textId="30A94C9A" w:rsidR="003E692C" w:rsidRPr="003E692C" w:rsidRDefault="003E692C" w:rsidP="003E692C">
                          <w:pPr>
                            <w:spacing w:after="0"/>
                            <w:rPr>
                              <w:rFonts w:ascii="Calibri" w:eastAsia="Calibri" w:hAnsi="Calibri" w:cs="Calibri"/>
                              <w:noProof/>
                              <w:color w:val="000000"/>
                              <w:sz w:val="20"/>
                              <w:szCs w:val="20"/>
                            </w:rPr>
                          </w:pPr>
                          <w:r>
                            <w:rPr>
                              <w:rFonts w:ascii="Calibri" w:hAnsi="Calibri"/>
                              <w:color w:val="000000"/>
                              <w:sz w:val="20"/>
                            </w:rPr>
                            <w:t xml:space="preserve">Non classifié / </w:t>
                          </w:r>
                          <w:proofErr w:type="spellStart"/>
                          <w:r>
                            <w:rPr>
                              <w:rFonts w:ascii="Calibri" w:hAnsi="Calibri"/>
                              <w:color w:val="000000"/>
                              <w:sz w:val="20"/>
                            </w:rPr>
                            <w:t>Unclassified</w:t>
                          </w:r>
                          <w:proofErr w:type="spellEnd"/>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9B4C68" id="_x0000_t202" coordsize="21600,21600" o:spt="202" path="m,l,21600r21600,l21600,xe">
              <v:stroke joinstyle="miter"/>
              <v:path gradientshapeok="t" o:connecttype="rect"/>
            </v:shapetype>
            <v:shape id="Text Box 1" o:spid="_x0000_s1028" type="#_x0000_t202" alt="Unclassified / Non classifié" style="position:absolute;margin-left:88.1pt;margin-top:0;width:128.1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" filled="f" stroked="f">
              <v:textbox style="mso-fit-shape-to-text:t" inset="0,15pt,20pt,0">
                <w:txbxContent>
                  <w:p w14:paraId="0C68EF19" w14:textId="30A94C9A" w:rsidR="003E692C" w:rsidRPr="003E692C" w:rsidRDefault="003E692C" w:rsidP="003E692C">
                    <w:pPr>
                      <w:spacing w:after="0"/>
                      <w:rPr>
                        <w:rFonts w:ascii="Calibri" w:eastAsia="Calibri" w:hAnsi="Calibri" w:cs="Calibri"/>
                        <w:noProof/>
                        <w:color w:val="000000"/>
                        <w:sz w:val="20"/>
                        <w:szCs w:val="20"/>
                      </w:rPr>
                    </w:pPr>
                    <w:r>
                      <w:rPr>
                        <w:rFonts w:ascii="Calibri" w:hAnsi="Calibri"/>
                        <w:color w:val="000000"/>
                        <w:sz w:val="20"/>
                      </w:rPr>
                      <w:t>Non classifié / 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59BF"/>
    <w:multiLevelType w:val="hybridMultilevel"/>
    <w:tmpl w:val="7340D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BF531F"/>
    <w:multiLevelType w:val="hybridMultilevel"/>
    <w:tmpl w:val="2B2CB786"/>
    <w:lvl w:ilvl="0" w:tplc="34506D98">
      <w:start w:val="1"/>
      <w:numFmt w:val="decimal"/>
      <w:pStyle w:val="EndNoteBibliography"/>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B14A98"/>
    <w:multiLevelType w:val="hybridMultilevel"/>
    <w:tmpl w:val="FD34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7855521">
    <w:abstractNumId w:val="2"/>
  </w:num>
  <w:num w:numId="2" w16cid:durableId="1177381098">
    <w:abstractNumId w:val="0"/>
  </w:num>
  <w:num w:numId="3" w16cid:durableId="14439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94"/>
    <w:rsid w:val="0001113B"/>
    <w:rsid w:val="0004614F"/>
    <w:rsid w:val="00055379"/>
    <w:rsid w:val="00067579"/>
    <w:rsid w:val="00071CEE"/>
    <w:rsid w:val="00077CE5"/>
    <w:rsid w:val="00094BD9"/>
    <w:rsid w:val="000C102C"/>
    <w:rsid w:val="000D2E5E"/>
    <w:rsid w:val="00135E96"/>
    <w:rsid w:val="0014331A"/>
    <w:rsid w:val="00147192"/>
    <w:rsid w:val="001627DE"/>
    <w:rsid w:val="00193250"/>
    <w:rsid w:val="001A6D70"/>
    <w:rsid w:val="001B00B6"/>
    <w:rsid w:val="001B158E"/>
    <w:rsid w:val="001D1216"/>
    <w:rsid w:val="001D6127"/>
    <w:rsid w:val="001D7BAF"/>
    <w:rsid w:val="001E688B"/>
    <w:rsid w:val="001F0E6E"/>
    <w:rsid w:val="001F38CF"/>
    <w:rsid w:val="00205DA7"/>
    <w:rsid w:val="00231017"/>
    <w:rsid w:val="0025063E"/>
    <w:rsid w:val="002605CA"/>
    <w:rsid w:val="00274BAE"/>
    <w:rsid w:val="002A6292"/>
    <w:rsid w:val="002E6096"/>
    <w:rsid w:val="002F6833"/>
    <w:rsid w:val="003101A9"/>
    <w:rsid w:val="00316B4F"/>
    <w:rsid w:val="00327D4E"/>
    <w:rsid w:val="00331D20"/>
    <w:rsid w:val="003344E0"/>
    <w:rsid w:val="00341B8A"/>
    <w:rsid w:val="00342B5B"/>
    <w:rsid w:val="00344120"/>
    <w:rsid w:val="0034706B"/>
    <w:rsid w:val="00375454"/>
    <w:rsid w:val="00393FE6"/>
    <w:rsid w:val="003A08AB"/>
    <w:rsid w:val="003A5FC3"/>
    <w:rsid w:val="003E2F8B"/>
    <w:rsid w:val="003E692C"/>
    <w:rsid w:val="003F4159"/>
    <w:rsid w:val="00403067"/>
    <w:rsid w:val="00417584"/>
    <w:rsid w:val="00420048"/>
    <w:rsid w:val="00422160"/>
    <w:rsid w:val="004A7F4C"/>
    <w:rsid w:val="004B15E4"/>
    <w:rsid w:val="004C0C58"/>
    <w:rsid w:val="004E32FD"/>
    <w:rsid w:val="004E471E"/>
    <w:rsid w:val="004E7FF2"/>
    <w:rsid w:val="004F4CEE"/>
    <w:rsid w:val="005142C5"/>
    <w:rsid w:val="0051656B"/>
    <w:rsid w:val="00534438"/>
    <w:rsid w:val="00564C6F"/>
    <w:rsid w:val="005756F5"/>
    <w:rsid w:val="00586E1C"/>
    <w:rsid w:val="005B6531"/>
    <w:rsid w:val="005C62F5"/>
    <w:rsid w:val="00600E21"/>
    <w:rsid w:val="00604323"/>
    <w:rsid w:val="006053CE"/>
    <w:rsid w:val="006123B6"/>
    <w:rsid w:val="0061474C"/>
    <w:rsid w:val="00626624"/>
    <w:rsid w:val="00632052"/>
    <w:rsid w:val="0064648E"/>
    <w:rsid w:val="006612AD"/>
    <w:rsid w:val="006C5527"/>
    <w:rsid w:val="006C604B"/>
    <w:rsid w:val="006E13C3"/>
    <w:rsid w:val="006E63D2"/>
    <w:rsid w:val="00722A2E"/>
    <w:rsid w:val="00725B6B"/>
    <w:rsid w:val="00725BFD"/>
    <w:rsid w:val="00732EB4"/>
    <w:rsid w:val="00760F99"/>
    <w:rsid w:val="0076367A"/>
    <w:rsid w:val="007843D0"/>
    <w:rsid w:val="007B69BD"/>
    <w:rsid w:val="007C1B96"/>
    <w:rsid w:val="007C62C9"/>
    <w:rsid w:val="007D177C"/>
    <w:rsid w:val="007D1790"/>
    <w:rsid w:val="007D6AF8"/>
    <w:rsid w:val="007E1735"/>
    <w:rsid w:val="00800AFD"/>
    <w:rsid w:val="00811A81"/>
    <w:rsid w:val="008206A7"/>
    <w:rsid w:val="00841788"/>
    <w:rsid w:val="008823A5"/>
    <w:rsid w:val="0089028F"/>
    <w:rsid w:val="00897844"/>
    <w:rsid w:val="008A5F4C"/>
    <w:rsid w:val="008B1853"/>
    <w:rsid w:val="008B70C1"/>
    <w:rsid w:val="008C36C7"/>
    <w:rsid w:val="008D1933"/>
    <w:rsid w:val="009078F7"/>
    <w:rsid w:val="00933726"/>
    <w:rsid w:val="0095595F"/>
    <w:rsid w:val="009571A1"/>
    <w:rsid w:val="00963029"/>
    <w:rsid w:val="00973FBF"/>
    <w:rsid w:val="009E3986"/>
    <w:rsid w:val="009E4ED6"/>
    <w:rsid w:val="009E5833"/>
    <w:rsid w:val="009F521C"/>
    <w:rsid w:val="009F7E48"/>
    <w:rsid w:val="00A41FFE"/>
    <w:rsid w:val="00A42C21"/>
    <w:rsid w:val="00A52A0B"/>
    <w:rsid w:val="00A5795B"/>
    <w:rsid w:val="00A67020"/>
    <w:rsid w:val="00A762EE"/>
    <w:rsid w:val="00A85719"/>
    <w:rsid w:val="00A87369"/>
    <w:rsid w:val="00A90E79"/>
    <w:rsid w:val="00AA6B19"/>
    <w:rsid w:val="00AB2019"/>
    <w:rsid w:val="00AB3C46"/>
    <w:rsid w:val="00AC1DBF"/>
    <w:rsid w:val="00AD0E16"/>
    <w:rsid w:val="00AE476F"/>
    <w:rsid w:val="00AF58D3"/>
    <w:rsid w:val="00AF7BCC"/>
    <w:rsid w:val="00B02F4B"/>
    <w:rsid w:val="00B03472"/>
    <w:rsid w:val="00B16215"/>
    <w:rsid w:val="00B44E3A"/>
    <w:rsid w:val="00B56203"/>
    <w:rsid w:val="00B716F4"/>
    <w:rsid w:val="00B835F5"/>
    <w:rsid w:val="00B9265B"/>
    <w:rsid w:val="00B970E2"/>
    <w:rsid w:val="00B97D34"/>
    <w:rsid w:val="00BA2A0C"/>
    <w:rsid w:val="00BA65EB"/>
    <w:rsid w:val="00BC3E1F"/>
    <w:rsid w:val="00BD6230"/>
    <w:rsid w:val="00C0717E"/>
    <w:rsid w:val="00C075C2"/>
    <w:rsid w:val="00C1748C"/>
    <w:rsid w:val="00C30EDC"/>
    <w:rsid w:val="00C3619A"/>
    <w:rsid w:val="00C40002"/>
    <w:rsid w:val="00C43BC1"/>
    <w:rsid w:val="00C54232"/>
    <w:rsid w:val="00C6257C"/>
    <w:rsid w:val="00C87612"/>
    <w:rsid w:val="00C97BA1"/>
    <w:rsid w:val="00CB07B6"/>
    <w:rsid w:val="00CB5EFF"/>
    <w:rsid w:val="00CC1CC4"/>
    <w:rsid w:val="00CC3257"/>
    <w:rsid w:val="00CC52DF"/>
    <w:rsid w:val="00CC70F4"/>
    <w:rsid w:val="00CD0CC3"/>
    <w:rsid w:val="00CD4412"/>
    <w:rsid w:val="00CD798D"/>
    <w:rsid w:val="00CE1EEF"/>
    <w:rsid w:val="00CE7253"/>
    <w:rsid w:val="00D02D70"/>
    <w:rsid w:val="00D15FD4"/>
    <w:rsid w:val="00D3799C"/>
    <w:rsid w:val="00D50A5A"/>
    <w:rsid w:val="00D53158"/>
    <w:rsid w:val="00D55FE2"/>
    <w:rsid w:val="00D704EF"/>
    <w:rsid w:val="00D76399"/>
    <w:rsid w:val="00D820E4"/>
    <w:rsid w:val="00DA27A6"/>
    <w:rsid w:val="00DD3938"/>
    <w:rsid w:val="00E00BDC"/>
    <w:rsid w:val="00E072D4"/>
    <w:rsid w:val="00E07DB4"/>
    <w:rsid w:val="00E22EF6"/>
    <w:rsid w:val="00E2669C"/>
    <w:rsid w:val="00E27754"/>
    <w:rsid w:val="00E33789"/>
    <w:rsid w:val="00E35078"/>
    <w:rsid w:val="00E353E8"/>
    <w:rsid w:val="00E47329"/>
    <w:rsid w:val="00E52D38"/>
    <w:rsid w:val="00E57C53"/>
    <w:rsid w:val="00E65072"/>
    <w:rsid w:val="00E8270F"/>
    <w:rsid w:val="00E864CF"/>
    <w:rsid w:val="00E97D4E"/>
    <w:rsid w:val="00EA25EC"/>
    <w:rsid w:val="00EA71C7"/>
    <w:rsid w:val="00EC7EA8"/>
    <w:rsid w:val="00ED4C8B"/>
    <w:rsid w:val="00EF2988"/>
    <w:rsid w:val="00EF53B6"/>
    <w:rsid w:val="00EF6D68"/>
    <w:rsid w:val="00EF76FC"/>
    <w:rsid w:val="00F0138E"/>
    <w:rsid w:val="00F07361"/>
    <w:rsid w:val="00F07659"/>
    <w:rsid w:val="00F10EA3"/>
    <w:rsid w:val="00F1329A"/>
    <w:rsid w:val="00F1770A"/>
    <w:rsid w:val="00F2657D"/>
    <w:rsid w:val="00F26AFD"/>
    <w:rsid w:val="00F30741"/>
    <w:rsid w:val="00F32BE8"/>
    <w:rsid w:val="00F410C9"/>
    <w:rsid w:val="00F53DF7"/>
    <w:rsid w:val="00F623AF"/>
    <w:rsid w:val="00F665DA"/>
    <w:rsid w:val="00F7250A"/>
    <w:rsid w:val="00F8610D"/>
    <w:rsid w:val="00F87B5A"/>
    <w:rsid w:val="00F9078F"/>
    <w:rsid w:val="00F950C6"/>
    <w:rsid w:val="00FA3D94"/>
    <w:rsid w:val="00FA3F25"/>
    <w:rsid w:val="00FC63F9"/>
    <w:rsid w:val="00FC649F"/>
    <w:rsid w:val="00FD5488"/>
    <w:rsid w:val="00FE0E84"/>
    <w:rsid w:val="00F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0ADF"/>
  <w15:chartTrackingRefBased/>
  <w15:docId w15:val="{15666AC1-60EC-4C69-BE5F-7F0EDEF2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94"/>
    <w:pPr>
      <w:spacing w:after="200" w:line="276" w:lineRule="auto"/>
    </w:pPr>
    <w:rPr>
      <w:kern w:val="0"/>
      <w14:ligatures w14:val="none"/>
    </w:rPr>
  </w:style>
  <w:style w:type="paragraph" w:styleId="Heading1">
    <w:name w:val="heading 1"/>
    <w:basedOn w:val="Normal"/>
    <w:next w:val="Normal"/>
    <w:link w:val="Heading1Char"/>
    <w:uiPriority w:val="9"/>
    <w:qFormat/>
    <w:rsid w:val="00FA3D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D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D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D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D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D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D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D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D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94"/>
    <w:rPr>
      <w:rFonts w:asciiTheme="majorHAnsi" w:eastAsiaTheme="majorEastAsia" w:hAnsiTheme="majorHAnsi" w:cstheme="majorBidi"/>
      <w:color w:val="0F4761" w:themeColor="accent1" w:themeShade="BF"/>
      <w:sz w:val="40"/>
      <w:szCs w:val="40"/>
      <w:lang w:val="fr-CA"/>
    </w:rPr>
  </w:style>
  <w:style w:type="character" w:customStyle="1" w:styleId="Heading2Char">
    <w:name w:val="Heading 2 Char"/>
    <w:basedOn w:val="DefaultParagraphFont"/>
    <w:link w:val="Heading2"/>
    <w:uiPriority w:val="9"/>
    <w:semiHidden/>
    <w:rsid w:val="00FA3D94"/>
    <w:rPr>
      <w:rFonts w:asciiTheme="majorHAnsi" w:eastAsiaTheme="majorEastAsia" w:hAnsiTheme="majorHAnsi" w:cstheme="majorBidi"/>
      <w:color w:val="0F4761" w:themeColor="accent1" w:themeShade="BF"/>
      <w:sz w:val="32"/>
      <w:szCs w:val="32"/>
      <w:lang w:val="fr-CA"/>
    </w:rPr>
  </w:style>
  <w:style w:type="character" w:customStyle="1" w:styleId="Heading3Char">
    <w:name w:val="Heading 3 Char"/>
    <w:basedOn w:val="DefaultParagraphFont"/>
    <w:link w:val="Heading3"/>
    <w:uiPriority w:val="9"/>
    <w:semiHidden/>
    <w:rsid w:val="00FA3D94"/>
    <w:rPr>
      <w:rFonts w:eastAsiaTheme="majorEastAsia" w:cstheme="majorBidi"/>
      <w:color w:val="0F4761" w:themeColor="accent1" w:themeShade="BF"/>
      <w:sz w:val="28"/>
      <w:szCs w:val="28"/>
      <w:lang w:val="fr-CA"/>
    </w:rPr>
  </w:style>
  <w:style w:type="character" w:customStyle="1" w:styleId="Heading4Char">
    <w:name w:val="Heading 4 Char"/>
    <w:basedOn w:val="DefaultParagraphFont"/>
    <w:link w:val="Heading4"/>
    <w:uiPriority w:val="9"/>
    <w:semiHidden/>
    <w:rsid w:val="00FA3D94"/>
    <w:rPr>
      <w:rFonts w:eastAsiaTheme="majorEastAsia" w:cstheme="majorBidi"/>
      <w:i/>
      <w:iCs/>
      <w:color w:val="0F4761" w:themeColor="accent1" w:themeShade="BF"/>
      <w:lang w:val="fr-CA"/>
    </w:rPr>
  </w:style>
  <w:style w:type="character" w:customStyle="1" w:styleId="Heading5Char">
    <w:name w:val="Heading 5 Char"/>
    <w:basedOn w:val="DefaultParagraphFont"/>
    <w:link w:val="Heading5"/>
    <w:uiPriority w:val="9"/>
    <w:semiHidden/>
    <w:rsid w:val="00FA3D94"/>
    <w:rPr>
      <w:rFonts w:eastAsiaTheme="majorEastAsia" w:cstheme="majorBidi"/>
      <w:color w:val="0F4761" w:themeColor="accent1" w:themeShade="BF"/>
      <w:lang w:val="fr-CA"/>
    </w:rPr>
  </w:style>
  <w:style w:type="character" w:customStyle="1" w:styleId="Heading6Char">
    <w:name w:val="Heading 6 Char"/>
    <w:basedOn w:val="DefaultParagraphFont"/>
    <w:link w:val="Heading6"/>
    <w:uiPriority w:val="9"/>
    <w:semiHidden/>
    <w:rsid w:val="00FA3D94"/>
    <w:rPr>
      <w:rFonts w:eastAsiaTheme="majorEastAsia" w:cstheme="majorBidi"/>
      <w:i/>
      <w:iCs/>
      <w:color w:val="595959" w:themeColor="text1" w:themeTint="A6"/>
      <w:lang w:val="fr-CA"/>
    </w:rPr>
  </w:style>
  <w:style w:type="character" w:customStyle="1" w:styleId="Heading7Char">
    <w:name w:val="Heading 7 Char"/>
    <w:basedOn w:val="DefaultParagraphFont"/>
    <w:link w:val="Heading7"/>
    <w:uiPriority w:val="9"/>
    <w:semiHidden/>
    <w:rsid w:val="00FA3D94"/>
    <w:rPr>
      <w:rFonts w:eastAsiaTheme="majorEastAsia" w:cstheme="majorBidi"/>
      <w:color w:val="595959" w:themeColor="text1" w:themeTint="A6"/>
      <w:lang w:val="fr-CA"/>
    </w:rPr>
  </w:style>
  <w:style w:type="character" w:customStyle="1" w:styleId="Heading8Char">
    <w:name w:val="Heading 8 Char"/>
    <w:basedOn w:val="DefaultParagraphFont"/>
    <w:link w:val="Heading8"/>
    <w:uiPriority w:val="9"/>
    <w:semiHidden/>
    <w:rsid w:val="00FA3D94"/>
    <w:rPr>
      <w:rFonts w:eastAsiaTheme="majorEastAsia" w:cstheme="majorBidi"/>
      <w:i/>
      <w:iCs/>
      <w:color w:val="272727" w:themeColor="text1" w:themeTint="D8"/>
      <w:lang w:val="fr-CA"/>
    </w:rPr>
  </w:style>
  <w:style w:type="character" w:customStyle="1" w:styleId="Heading9Char">
    <w:name w:val="Heading 9 Char"/>
    <w:basedOn w:val="DefaultParagraphFont"/>
    <w:link w:val="Heading9"/>
    <w:uiPriority w:val="9"/>
    <w:semiHidden/>
    <w:rsid w:val="00FA3D94"/>
    <w:rPr>
      <w:rFonts w:eastAsiaTheme="majorEastAsia" w:cstheme="majorBidi"/>
      <w:color w:val="272727" w:themeColor="text1" w:themeTint="D8"/>
      <w:lang w:val="fr-CA"/>
    </w:rPr>
  </w:style>
  <w:style w:type="paragraph" w:styleId="Title">
    <w:name w:val="Title"/>
    <w:basedOn w:val="Normal"/>
    <w:next w:val="Normal"/>
    <w:link w:val="TitleChar"/>
    <w:uiPriority w:val="10"/>
    <w:qFormat/>
    <w:rsid w:val="00FA3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D94"/>
    <w:rPr>
      <w:rFonts w:asciiTheme="majorHAnsi" w:eastAsiaTheme="majorEastAsia" w:hAnsiTheme="majorHAnsi" w:cstheme="majorBidi"/>
      <w:spacing w:val="-10"/>
      <w:kern w:val="28"/>
      <w:sz w:val="56"/>
      <w:szCs w:val="56"/>
      <w:lang w:val="fr-CA"/>
    </w:rPr>
  </w:style>
  <w:style w:type="paragraph" w:styleId="Subtitle">
    <w:name w:val="Subtitle"/>
    <w:basedOn w:val="Normal"/>
    <w:next w:val="Normal"/>
    <w:link w:val="SubtitleChar"/>
    <w:uiPriority w:val="11"/>
    <w:qFormat/>
    <w:rsid w:val="00FA3D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D94"/>
    <w:rPr>
      <w:rFonts w:eastAsiaTheme="majorEastAsia" w:cstheme="majorBidi"/>
      <w:color w:val="595959" w:themeColor="text1" w:themeTint="A6"/>
      <w:spacing w:val="15"/>
      <w:sz w:val="28"/>
      <w:szCs w:val="28"/>
      <w:lang w:val="fr-CA"/>
    </w:rPr>
  </w:style>
  <w:style w:type="paragraph" w:styleId="Quote">
    <w:name w:val="Quote"/>
    <w:basedOn w:val="Normal"/>
    <w:next w:val="Normal"/>
    <w:link w:val="QuoteChar"/>
    <w:uiPriority w:val="29"/>
    <w:qFormat/>
    <w:rsid w:val="00FA3D94"/>
    <w:pPr>
      <w:spacing w:before="160"/>
      <w:jc w:val="center"/>
    </w:pPr>
    <w:rPr>
      <w:i/>
      <w:iCs/>
      <w:color w:val="404040" w:themeColor="text1" w:themeTint="BF"/>
    </w:rPr>
  </w:style>
  <w:style w:type="character" w:customStyle="1" w:styleId="QuoteChar">
    <w:name w:val="Quote Char"/>
    <w:basedOn w:val="DefaultParagraphFont"/>
    <w:link w:val="Quote"/>
    <w:uiPriority w:val="29"/>
    <w:rsid w:val="00FA3D94"/>
    <w:rPr>
      <w:i/>
      <w:iCs/>
      <w:color w:val="404040" w:themeColor="text1" w:themeTint="BF"/>
      <w:lang w:val="fr-CA"/>
    </w:rPr>
  </w:style>
  <w:style w:type="paragraph" w:styleId="ListParagraph">
    <w:name w:val="List Paragraph"/>
    <w:basedOn w:val="Normal"/>
    <w:uiPriority w:val="34"/>
    <w:qFormat/>
    <w:rsid w:val="00FA3D94"/>
    <w:pPr>
      <w:ind w:left="720"/>
      <w:contextualSpacing/>
    </w:pPr>
  </w:style>
  <w:style w:type="character" w:styleId="IntenseEmphasis">
    <w:name w:val="Intense Emphasis"/>
    <w:basedOn w:val="DefaultParagraphFont"/>
    <w:uiPriority w:val="21"/>
    <w:qFormat/>
    <w:rsid w:val="00FA3D94"/>
    <w:rPr>
      <w:i/>
      <w:iCs/>
      <w:color w:val="0F4761" w:themeColor="accent1" w:themeShade="BF"/>
    </w:rPr>
  </w:style>
  <w:style w:type="paragraph" w:styleId="IntenseQuote">
    <w:name w:val="Intense Quote"/>
    <w:basedOn w:val="Normal"/>
    <w:next w:val="Normal"/>
    <w:link w:val="IntenseQuoteChar"/>
    <w:uiPriority w:val="30"/>
    <w:qFormat/>
    <w:rsid w:val="00FA3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D94"/>
    <w:rPr>
      <w:i/>
      <w:iCs/>
      <w:color w:val="0F4761" w:themeColor="accent1" w:themeShade="BF"/>
      <w:lang w:val="fr-CA"/>
    </w:rPr>
  </w:style>
  <w:style w:type="character" w:styleId="IntenseReference">
    <w:name w:val="Intense Reference"/>
    <w:basedOn w:val="DefaultParagraphFont"/>
    <w:uiPriority w:val="32"/>
    <w:qFormat/>
    <w:rsid w:val="00FA3D94"/>
    <w:rPr>
      <w:b/>
      <w:bCs/>
      <w:smallCaps/>
      <w:color w:val="0F4761" w:themeColor="accent1" w:themeShade="BF"/>
      <w:spacing w:val="5"/>
    </w:rPr>
  </w:style>
  <w:style w:type="character" w:styleId="Hyperlink">
    <w:name w:val="Hyperlink"/>
    <w:basedOn w:val="DefaultParagraphFont"/>
    <w:uiPriority w:val="99"/>
    <w:unhideWhenUsed/>
    <w:rsid w:val="00FA3D94"/>
    <w:rPr>
      <w:color w:val="467886" w:themeColor="hyperlink"/>
      <w:u w:val="single"/>
    </w:rPr>
  </w:style>
  <w:style w:type="character" w:styleId="UnresolvedMention">
    <w:name w:val="Unresolved Mention"/>
    <w:basedOn w:val="DefaultParagraphFont"/>
    <w:uiPriority w:val="99"/>
    <w:semiHidden/>
    <w:unhideWhenUsed/>
    <w:rsid w:val="00FA3D94"/>
    <w:rPr>
      <w:color w:val="605E5C"/>
      <w:shd w:val="clear" w:color="auto" w:fill="E1DFDD"/>
    </w:rPr>
  </w:style>
  <w:style w:type="paragraph" w:styleId="Header">
    <w:name w:val="header"/>
    <w:basedOn w:val="Normal"/>
    <w:link w:val="HeaderChar"/>
    <w:uiPriority w:val="99"/>
    <w:unhideWhenUsed/>
    <w:rsid w:val="003E6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92C"/>
    <w:rPr>
      <w:kern w:val="0"/>
      <w:lang w:val="fr-CA"/>
      <w14:ligatures w14:val="none"/>
    </w:rPr>
  </w:style>
  <w:style w:type="paragraph" w:styleId="Footer">
    <w:name w:val="footer"/>
    <w:basedOn w:val="Normal"/>
    <w:link w:val="FooterChar"/>
    <w:uiPriority w:val="99"/>
    <w:unhideWhenUsed/>
    <w:rsid w:val="00162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DE"/>
    <w:rPr>
      <w:kern w:val="0"/>
      <w:lang w:val="fr-CA"/>
      <w14:ligatures w14:val="none"/>
    </w:rPr>
  </w:style>
  <w:style w:type="paragraph" w:customStyle="1" w:styleId="EndNoteBibliography">
    <w:name w:val="EndNote Bibliography"/>
    <w:basedOn w:val="Normal"/>
    <w:link w:val="EndNoteBibliographyChar"/>
    <w:rsid w:val="00EC7EA8"/>
    <w:pPr>
      <w:numPr>
        <w:numId w:val="3"/>
      </w:num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C7EA8"/>
    <w:rPr>
      <w:rFonts w:ascii="Calibri" w:hAnsi="Calibri" w:cs="Calibri"/>
      <w:noProof/>
      <w:kern w:val="0"/>
      <w14:ligatures w14:val="none"/>
    </w:rPr>
  </w:style>
  <w:style w:type="paragraph" w:customStyle="1" w:styleId="EndNoteCategoryHeading">
    <w:name w:val="EndNote Category Heading"/>
    <w:basedOn w:val="Normal"/>
    <w:link w:val="EndNoteCategoryHeadingChar"/>
    <w:rsid w:val="00EC7EA8"/>
    <w:pPr>
      <w:spacing w:before="120" w:after="120"/>
    </w:pPr>
    <w:rPr>
      <w:b/>
      <w:noProof/>
    </w:rPr>
  </w:style>
  <w:style w:type="character" w:customStyle="1" w:styleId="EndNoteCategoryHeadingChar">
    <w:name w:val="EndNote Category Heading Char"/>
    <w:basedOn w:val="DefaultParagraphFont"/>
    <w:link w:val="EndNoteCategoryHeading"/>
    <w:rsid w:val="00EC7EA8"/>
    <w:rPr>
      <w:b/>
      <w:noProof/>
      <w:kern w:val="0"/>
      <w14:ligatures w14:val="none"/>
    </w:rPr>
  </w:style>
  <w:style w:type="paragraph" w:styleId="Revision">
    <w:name w:val="Revision"/>
    <w:hidden/>
    <w:uiPriority w:val="99"/>
    <w:semiHidden/>
    <w:rsid w:val="00AD0E16"/>
    <w:pPr>
      <w:spacing w:after="0" w:line="240" w:lineRule="auto"/>
    </w:pPr>
    <w:rPr>
      <w:kern w:val="0"/>
      <w14:ligatures w14:val="none"/>
    </w:rPr>
  </w:style>
  <w:style w:type="character" w:styleId="CommentReference">
    <w:name w:val="annotation reference"/>
    <w:basedOn w:val="DefaultParagraphFont"/>
    <w:uiPriority w:val="99"/>
    <w:semiHidden/>
    <w:unhideWhenUsed/>
    <w:rsid w:val="00626624"/>
    <w:rPr>
      <w:sz w:val="16"/>
      <w:szCs w:val="16"/>
    </w:rPr>
  </w:style>
  <w:style w:type="paragraph" w:styleId="CommentText">
    <w:name w:val="annotation text"/>
    <w:basedOn w:val="Normal"/>
    <w:link w:val="CommentTextChar"/>
    <w:uiPriority w:val="99"/>
    <w:unhideWhenUsed/>
    <w:rsid w:val="00626624"/>
    <w:pPr>
      <w:spacing w:line="240" w:lineRule="auto"/>
    </w:pPr>
    <w:rPr>
      <w:sz w:val="20"/>
      <w:szCs w:val="20"/>
    </w:rPr>
  </w:style>
  <w:style w:type="character" w:customStyle="1" w:styleId="CommentTextChar">
    <w:name w:val="Comment Text Char"/>
    <w:basedOn w:val="DefaultParagraphFont"/>
    <w:link w:val="CommentText"/>
    <w:uiPriority w:val="99"/>
    <w:rsid w:val="00626624"/>
    <w:rPr>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626624"/>
    <w:rPr>
      <w:b/>
      <w:bCs/>
    </w:rPr>
  </w:style>
  <w:style w:type="character" w:customStyle="1" w:styleId="CommentSubjectChar">
    <w:name w:val="Comment Subject Char"/>
    <w:basedOn w:val="CommentTextChar"/>
    <w:link w:val="CommentSubject"/>
    <w:uiPriority w:val="99"/>
    <w:semiHidden/>
    <w:rsid w:val="00626624"/>
    <w:rPr>
      <w:b/>
      <w:bCs/>
      <w:kern w:val="0"/>
      <w:sz w:val="20"/>
      <w:szCs w:val="20"/>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177">
      <w:bodyDiv w:val="1"/>
      <w:marLeft w:val="0"/>
      <w:marRight w:val="0"/>
      <w:marTop w:val="0"/>
      <w:marBottom w:val="0"/>
      <w:divBdr>
        <w:top w:val="none" w:sz="0" w:space="0" w:color="auto"/>
        <w:left w:val="none" w:sz="0" w:space="0" w:color="auto"/>
        <w:bottom w:val="none" w:sz="0" w:space="0" w:color="auto"/>
        <w:right w:val="none" w:sz="0" w:space="0" w:color="auto"/>
      </w:divBdr>
    </w:div>
    <w:div w:id="587737541">
      <w:bodyDiv w:val="1"/>
      <w:marLeft w:val="0"/>
      <w:marRight w:val="0"/>
      <w:marTop w:val="0"/>
      <w:marBottom w:val="0"/>
      <w:divBdr>
        <w:top w:val="none" w:sz="0" w:space="0" w:color="auto"/>
        <w:left w:val="none" w:sz="0" w:space="0" w:color="auto"/>
        <w:bottom w:val="none" w:sz="0" w:space="0" w:color="auto"/>
        <w:right w:val="none" w:sz="0" w:space="0" w:color="auto"/>
      </w:divBdr>
    </w:div>
    <w:div w:id="620573837">
      <w:bodyDiv w:val="1"/>
      <w:marLeft w:val="0"/>
      <w:marRight w:val="0"/>
      <w:marTop w:val="0"/>
      <w:marBottom w:val="0"/>
      <w:divBdr>
        <w:top w:val="none" w:sz="0" w:space="0" w:color="auto"/>
        <w:left w:val="none" w:sz="0" w:space="0" w:color="auto"/>
        <w:bottom w:val="none" w:sz="0" w:space="0" w:color="auto"/>
        <w:right w:val="none" w:sz="0" w:space="0" w:color="auto"/>
      </w:divBdr>
    </w:div>
    <w:div w:id="870265636">
      <w:bodyDiv w:val="1"/>
      <w:marLeft w:val="0"/>
      <w:marRight w:val="0"/>
      <w:marTop w:val="0"/>
      <w:marBottom w:val="0"/>
      <w:divBdr>
        <w:top w:val="none" w:sz="0" w:space="0" w:color="auto"/>
        <w:left w:val="none" w:sz="0" w:space="0" w:color="auto"/>
        <w:bottom w:val="none" w:sz="0" w:space="0" w:color="auto"/>
        <w:right w:val="none" w:sz="0" w:space="0" w:color="auto"/>
      </w:divBdr>
    </w:div>
    <w:div w:id="1617061065">
      <w:bodyDiv w:val="1"/>
      <w:marLeft w:val="0"/>
      <w:marRight w:val="0"/>
      <w:marTop w:val="0"/>
      <w:marBottom w:val="0"/>
      <w:divBdr>
        <w:top w:val="none" w:sz="0" w:space="0" w:color="auto"/>
        <w:left w:val="none" w:sz="0" w:space="0" w:color="auto"/>
        <w:bottom w:val="none" w:sz="0" w:space="0" w:color="auto"/>
        <w:right w:val="none" w:sz="0" w:space="0" w:color="auto"/>
      </w:divBdr>
    </w:div>
    <w:div w:id="20730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canada.ca/fr/commerce-international" TargetMode="External"/><Relationship Id="rId13" Type="http://schemas.openxmlformats.org/officeDocument/2006/relationships/hyperlink" Target="https://agriculture.canada.ca/fr/environnement/changements-climatiques/scenarios-climatiques-lagricultu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agriculture.canada.ca/fr/secteur/apercu" TargetMode="External"/><Relationship Id="rId12" Type="http://schemas.openxmlformats.org/officeDocument/2006/relationships/hyperlink" Target="https://www.ivey.uwo.ca/media/3779172/sparling-cheney-food-manufacturing-performance-full-report-march-10.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150.statcan.gc.ca/n1/pub/75-006-x/2023001/article/00002-fra.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pb-ca-c1.wpmucdn.com/sites.uoguelph.ca/dist/0/134/files/2022/01/Size-and-Productivity-in-the-Canadian-Food-Processing-Industry.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150.statcan.gc.ca/t1/tbl1/fr/cv.action?pid=1810000401&amp;request_locale=fr" TargetMode="External"/><Relationship Id="rId23" Type="http://schemas.openxmlformats.org/officeDocument/2006/relationships/fontTable" Target="fontTable.xml"/><Relationship Id="rId10" Type="http://schemas.openxmlformats.org/officeDocument/2006/relationships/hyperlink" Target="https://agriculture.canada.ca/fr/ministere/initiatives/tables-engagement-sectori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150.statcan.gc.ca/n1/daily-quotidien/241209/dq241209c-fra.htm" TargetMode="External"/><Relationship Id="rId14" Type="http://schemas.openxmlformats.org/officeDocument/2006/relationships/hyperlink" Target="https://www150.statcan.gc.ca/n1/daily-quotidien/241010/dq241010a-fra.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Stortz, Laura (AAFC/AAC) (she - her - hers / elle)</dc:creator>
  <cp:keywords/>
  <dc:description/>
  <cp:lastModifiedBy>Vignola, Jennifer (AAFC/AAC)</cp:lastModifiedBy>
  <cp:revision>2</cp:revision>
  <dcterms:created xsi:type="dcterms:W3CDTF">2025-01-03T16:11:00Z</dcterms:created>
  <dcterms:modified xsi:type="dcterms:W3CDTF">2025-01-03T16:11:00Z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66b9d98b,4efbb9cb,6496e0c0</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y fmtid="{D5CDD505-2E9C-101B-9397-08002B2CF9AE}" pid="5" name="MSIP_Label_baad8967-3ba6-4b00-a759-20a8ca19a393_Enabled">
    <vt:lpwstr>true</vt:lpwstr>
  </property>
  <property fmtid="{D5CDD505-2E9C-101B-9397-08002B2CF9AE}" pid="6" name="MSIP_Label_baad8967-3ba6-4b00-a759-20a8ca19a393_SetDate">
    <vt:lpwstr>2024-12-16T15:46:58Z</vt:lpwstr>
  </property>
  <property fmtid="{D5CDD505-2E9C-101B-9397-08002B2CF9AE}" pid="7" name="MSIP_Label_baad8967-3ba6-4b00-a759-20a8ca19a393_Method">
    <vt:lpwstr>Privileged</vt:lpwstr>
  </property>
  <property fmtid="{D5CDD505-2E9C-101B-9397-08002B2CF9AE}" pid="8" name="MSIP_Label_baad8967-3ba6-4b00-a759-20a8ca19a393_Name">
    <vt:lpwstr>UNCLASSIFIED</vt:lpwstr>
  </property>
  <property fmtid="{D5CDD505-2E9C-101B-9397-08002B2CF9AE}" pid="9" name="MSIP_Label_baad8967-3ba6-4b00-a759-20a8ca19a393_SiteId">
    <vt:lpwstr>9da98bb1-1857-4cc3-8751-9a49e35d24cd</vt:lpwstr>
  </property>
  <property fmtid="{D5CDD505-2E9C-101B-9397-08002B2CF9AE}" pid="10" name="MSIP_Label_baad8967-3ba6-4b00-a759-20a8ca19a393_ActionId">
    <vt:lpwstr>56e4b4d8-a63c-42b4-9bb4-622d83bf200a</vt:lpwstr>
  </property>
  <property fmtid="{D5CDD505-2E9C-101B-9397-08002B2CF9AE}" pid="11" name="MSIP_Label_baad8967-3ba6-4b00-a759-20a8ca19a393_ContentBits">
    <vt:lpwstr>1</vt:lpwstr>
  </property>
  <property fmtid="{D5CDD505-2E9C-101B-9397-08002B2CF9AE}" pid="12" name="MSIP_Label_834ed4f5-eae4-40c7-82be-b1cdf720a1b9_Enabled">
    <vt:lpwstr>true</vt:lpwstr>
  </property>
  <property fmtid="{D5CDD505-2E9C-101B-9397-08002B2CF9AE}" pid="13" name="MSIP_Label_834ed4f5-eae4-40c7-82be-b1cdf720a1b9_SetDate">
    <vt:lpwstr>2025-01-02T19:24:32Z</vt:lpwstr>
  </property>
  <property fmtid="{D5CDD505-2E9C-101B-9397-08002B2CF9AE}" pid="14" name="MSIP_Label_834ed4f5-eae4-40c7-82be-b1cdf720a1b9_Method">
    <vt:lpwstr>Standard</vt:lpwstr>
  </property>
  <property fmtid="{D5CDD505-2E9C-101B-9397-08002B2CF9AE}" pid="15" name="MSIP_Label_834ed4f5-eae4-40c7-82be-b1cdf720a1b9_Name">
    <vt:lpwstr>Unclassified - Non classifié</vt:lpwstr>
  </property>
  <property fmtid="{D5CDD505-2E9C-101B-9397-08002B2CF9AE}" pid="16" name="MSIP_Label_834ed4f5-eae4-40c7-82be-b1cdf720a1b9_SiteId">
    <vt:lpwstr>e0d54a3c-7bbe-4a64-9d46-f9f84a41c833</vt:lpwstr>
  </property>
  <property fmtid="{D5CDD505-2E9C-101B-9397-08002B2CF9AE}" pid="17" name="MSIP_Label_834ed4f5-eae4-40c7-82be-b1cdf720a1b9_ActionId">
    <vt:lpwstr>d1341519-970c-4742-97ff-a4c2b2d10049</vt:lpwstr>
  </property>
  <property fmtid="{D5CDD505-2E9C-101B-9397-08002B2CF9AE}" pid="18" name="MSIP_Label_834ed4f5-eae4-40c7-82be-b1cdf720a1b9_ContentBits">
    <vt:lpwstr>0</vt:lpwstr>
  </property>
  <property fmtid="{D5CDD505-2E9C-101B-9397-08002B2CF9AE}" pid="20" name="_NewReviewCycle">
    <vt:lpwstr/>
  </property>
</Properties>
</file>