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C53B" w14:textId="464EBC59" w:rsidR="00B850A1" w:rsidRPr="00BF5BA6" w:rsidRDefault="005E14C5" w:rsidP="007235E2">
      <w:pPr>
        <w:pStyle w:val="NoSpacing"/>
        <w:rPr>
          <w:rFonts w:ascii="Gisha" w:hAnsi="Gisha" w:cs="Gisha"/>
          <w:b/>
          <w:color w:val="595959" w:themeColor="text1" w:themeTint="A6"/>
          <w:sz w:val="40"/>
          <w:szCs w:val="40"/>
        </w:rPr>
      </w:pPr>
      <w:r w:rsidRPr="00BF5BA6">
        <w:rPr>
          <w:rFonts w:ascii="Gisha" w:hAnsi="Gisha" w:cs="Gisha"/>
          <w:b/>
          <w:color w:val="595959" w:themeColor="text1" w:themeTint="A6"/>
          <w:sz w:val="40"/>
          <w:szCs w:val="40"/>
        </w:rPr>
        <w:t>Publication of Enduring Quality</w:t>
      </w:r>
      <w:r w:rsidR="0005337F" w:rsidRPr="00BF5BA6">
        <w:rPr>
          <w:rFonts w:ascii="Gisha" w:hAnsi="Gisha" w:cs="Gisha"/>
          <w:b/>
          <w:color w:val="595959" w:themeColor="text1" w:themeTint="A6"/>
          <w:sz w:val="40"/>
          <w:szCs w:val="40"/>
        </w:rPr>
        <w:t xml:space="preserve"> Nomination</w:t>
      </w:r>
      <w:r w:rsidR="000308A9" w:rsidRPr="00BF5BA6">
        <w:rPr>
          <w:rFonts w:ascii="Gisha" w:hAnsi="Gisha" w:cs="Gisha"/>
          <w:b/>
          <w:color w:val="595959" w:themeColor="text1" w:themeTint="A6"/>
          <w:sz w:val="40"/>
          <w:szCs w:val="40"/>
        </w:rPr>
        <w:t>s</w:t>
      </w:r>
    </w:p>
    <w:p w14:paraId="407061D1" w14:textId="77777777" w:rsidR="007235E2" w:rsidRPr="0013051B" w:rsidRDefault="00F55D63" w:rsidP="007235E2">
      <w:pPr>
        <w:pStyle w:val="NoSpacing"/>
        <w:rPr>
          <w:rFonts w:ascii="Gisha" w:hAnsi="Gisha" w:cs="Gisha"/>
          <w:color w:val="595959" w:themeColor="text1" w:themeTint="A6"/>
        </w:rPr>
      </w:pPr>
      <w:r>
        <w:rPr>
          <w:rFonts w:ascii="Gisha" w:hAnsi="Gisha" w:cs="Gisha"/>
          <w:color w:val="595959" w:themeColor="text1" w:themeTint="A6"/>
        </w:rPr>
        <w:pict w14:anchorId="32C6A82D">
          <v:rect id="_x0000_i1025" style="width:0;height:1.5pt" o:hralign="center" o:hrstd="t" o:hr="t" fillcolor="#a0a0a0" stroked="f"/>
        </w:pict>
      </w:r>
    </w:p>
    <w:p w14:paraId="326572A8" w14:textId="77777777" w:rsidR="007235E2" w:rsidRPr="0013051B" w:rsidRDefault="007235E2" w:rsidP="007235E2">
      <w:pPr>
        <w:pStyle w:val="NoSpacing"/>
        <w:rPr>
          <w:rFonts w:ascii="Gisha" w:hAnsi="Gisha" w:cs="Gisha"/>
          <w:color w:val="595959" w:themeColor="text1" w:themeTint="A6"/>
        </w:rPr>
      </w:pPr>
    </w:p>
    <w:p w14:paraId="6153D6BC" w14:textId="1D33C01D" w:rsidR="00BA338F" w:rsidRDefault="0013051B" w:rsidP="00BA338F">
      <w:pPr>
        <w:pStyle w:val="NoSpacing"/>
        <w:rPr>
          <w:rStyle w:val="Strong"/>
          <w:rFonts w:ascii="Gisha" w:hAnsi="Gisha" w:cs="Gisha"/>
          <w:color w:val="595959" w:themeColor="text1" w:themeTint="A6"/>
          <w:sz w:val="20"/>
          <w:szCs w:val="20"/>
        </w:rPr>
      </w:pPr>
      <w:r w:rsidRPr="00BA338F">
        <w:rPr>
          <w:rStyle w:val="Strong"/>
          <w:rFonts w:ascii="Gisha" w:hAnsi="Gisha" w:cs="Gisha"/>
          <w:color w:val="595959" w:themeColor="text1" w:themeTint="A6"/>
          <w:sz w:val="20"/>
          <w:szCs w:val="20"/>
        </w:rPr>
        <w:t>Due</w:t>
      </w:r>
      <w:r w:rsidR="00BA338F" w:rsidRPr="00BA338F">
        <w:rPr>
          <w:rStyle w:val="Strong"/>
          <w:rFonts w:ascii="Gisha" w:hAnsi="Gisha" w:cs="Gisha"/>
          <w:color w:val="595959" w:themeColor="text1" w:themeTint="A6"/>
          <w:sz w:val="20"/>
          <w:szCs w:val="20"/>
        </w:rPr>
        <w:t xml:space="preserve"> Date</w:t>
      </w:r>
    </w:p>
    <w:p w14:paraId="655DD048" w14:textId="72853021" w:rsidR="00BA338F" w:rsidRPr="00BA338F" w:rsidRDefault="00BA338F" w:rsidP="00BA338F">
      <w:pPr>
        <w:pStyle w:val="NoSpacing"/>
        <w:rPr>
          <w:rStyle w:val="Strong"/>
          <w:rFonts w:ascii="Gisha" w:hAnsi="Gisha" w:cs="Gisha"/>
          <w:b w:val="0"/>
          <w:color w:val="595959" w:themeColor="text1" w:themeTint="A6"/>
          <w:sz w:val="20"/>
          <w:szCs w:val="20"/>
        </w:rPr>
      </w:pPr>
    </w:p>
    <w:p w14:paraId="2AA6B800" w14:textId="20DC2AB1" w:rsidR="0013051B" w:rsidRPr="00BA338F" w:rsidRDefault="00F55D63" w:rsidP="00BA338F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>
        <w:rPr>
          <w:rStyle w:val="Strong"/>
          <w:rFonts w:ascii="Gisha" w:hAnsi="Gisha" w:cs="Gisha"/>
          <w:b w:val="0"/>
          <w:color w:val="595959" w:themeColor="text1" w:themeTint="A6"/>
          <w:sz w:val="20"/>
          <w:szCs w:val="20"/>
        </w:rPr>
        <w:t>As identified on the annual Call for Nominations</w:t>
      </w:r>
    </w:p>
    <w:p w14:paraId="6E7F9C68" w14:textId="07A4C71A" w:rsidR="00BA338F" w:rsidRDefault="00BA338F" w:rsidP="00BA338F">
      <w:pPr>
        <w:pStyle w:val="NoSpacing"/>
        <w:rPr>
          <w:spacing w:val="-1"/>
          <w:sz w:val="20"/>
          <w:szCs w:val="20"/>
        </w:rPr>
      </w:pPr>
    </w:p>
    <w:p w14:paraId="419F8D3E" w14:textId="598F6E19" w:rsidR="00BA338F" w:rsidRDefault="00BA338F" w:rsidP="00BA338F">
      <w:pPr>
        <w:pStyle w:val="NoSpacing"/>
        <w:rPr>
          <w:rFonts w:ascii="Gisha" w:eastAsia="Calibri" w:hAnsi="Gisha" w:cs="Gisha"/>
          <w:b/>
          <w:color w:val="595959" w:themeColor="text1" w:themeTint="A6"/>
          <w:sz w:val="20"/>
          <w:szCs w:val="20"/>
        </w:rPr>
      </w:pPr>
      <w:r>
        <w:rPr>
          <w:rFonts w:ascii="Gisha" w:hAnsi="Gisha" w:cs="Gisha"/>
          <w:b/>
          <w:color w:val="595959" w:themeColor="text1" w:themeTint="A6"/>
          <w:spacing w:val="-1"/>
          <w:sz w:val="20"/>
          <w:szCs w:val="20"/>
        </w:rPr>
        <w:t>Eligibility</w:t>
      </w:r>
    </w:p>
    <w:p w14:paraId="20FA50A0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3DF3E071" w14:textId="77777777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Nominees must be current members of the CAES. </w:t>
      </w:r>
    </w:p>
    <w:p w14:paraId="4FF6327B" w14:textId="77777777" w:rsidR="00BA338F" w:rsidRPr="00FC1C00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 w:rsidRPr="00D97AF8">
        <w:rPr>
          <w:rFonts w:ascii="Gisha" w:hAnsi="Gisha" w:cs="Gisha"/>
          <w:color w:val="595959" w:themeColor="text1" w:themeTint="A6"/>
          <w:sz w:val="20"/>
          <w:szCs w:val="20"/>
        </w:rPr>
        <w:t>Peer nominations are typical, but self-nominations will be considered.</w:t>
      </w:r>
    </w:p>
    <w:p w14:paraId="32FB73F3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739BEDE4" w14:textId="77777777" w:rsidR="00BA338F" w:rsidRDefault="00BA338F" w:rsidP="00BA338F">
      <w:pPr>
        <w:pStyle w:val="NoSpacing"/>
        <w:rPr>
          <w:rFonts w:ascii="Gisha" w:hAnsi="Gisha" w:cs="Gisha"/>
          <w:b/>
          <w:color w:val="595959" w:themeColor="text1" w:themeTint="A6"/>
          <w:spacing w:val="-1"/>
          <w:sz w:val="20"/>
          <w:szCs w:val="20"/>
        </w:rPr>
      </w:pPr>
      <w:r>
        <w:rPr>
          <w:rFonts w:ascii="Gisha" w:hAnsi="Gisha" w:cs="Gisha"/>
          <w:b/>
          <w:color w:val="595959" w:themeColor="text1" w:themeTint="A6"/>
          <w:spacing w:val="-1"/>
          <w:sz w:val="20"/>
          <w:szCs w:val="20"/>
        </w:rPr>
        <w:t>Criteria</w:t>
      </w:r>
    </w:p>
    <w:p w14:paraId="40024202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31AB1C12" w14:textId="77777777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>P</w:t>
      </w:r>
      <w:r w:rsidRPr="00974748">
        <w:rPr>
          <w:rFonts w:ascii="Gisha" w:hAnsi="Gisha" w:cs="Gisha"/>
          <w:color w:val="595959" w:themeColor="text1" w:themeTint="A6"/>
          <w:sz w:val="20"/>
          <w:szCs w:val="20"/>
        </w:rPr>
        <w:t>ublication (</w:t>
      </w: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article, book, chapter, </w:t>
      </w:r>
      <w:r w:rsidRPr="00974748">
        <w:rPr>
          <w:rFonts w:ascii="Gisha" w:hAnsi="Gisha" w:cs="Gisha"/>
          <w:color w:val="595959" w:themeColor="text1" w:themeTint="A6"/>
          <w:sz w:val="20"/>
          <w:szCs w:val="20"/>
        </w:rPr>
        <w:t xml:space="preserve">in the CJAE or elsewhere) that has had a significant impact on agricultural, environmental or resource economics in Canada and has been available for 10 years or more. </w:t>
      </w:r>
    </w:p>
    <w:p w14:paraId="0C60B41C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74EA5A47" w14:textId="77777777" w:rsidR="00BA338F" w:rsidRDefault="00BA338F" w:rsidP="00BA338F">
      <w:pPr>
        <w:pStyle w:val="NoSpacing"/>
        <w:rPr>
          <w:rFonts w:ascii="Gisha" w:hAnsi="Gisha" w:cs="Gisha"/>
          <w:b/>
          <w:bCs/>
          <w:color w:val="595959" w:themeColor="text1" w:themeTint="A6"/>
          <w:sz w:val="20"/>
          <w:szCs w:val="20"/>
        </w:rPr>
      </w:pPr>
      <w:r>
        <w:rPr>
          <w:rFonts w:ascii="Gisha" w:hAnsi="Gisha" w:cs="Gisha"/>
          <w:b/>
          <w:color w:val="595959" w:themeColor="text1" w:themeTint="A6"/>
          <w:spacing w:val="-1"/>
          <w:sz w:val="20"/>
          <w:szCs w:val="20"/>
        </w:rPr>
        <w:t>Rules</w:t>
      </w:r>
    </w:p>
    <w:p w14:paraId="5D965A44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6C11C1EF" w14:textId="77777777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>Nominations may be made by any member of the society.</w:t>
      </w:r>
    </w:p>
    <w:p w14:paraId="0049E8DC" w14:textId="185FC328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 w:rsidRPr="00974748">
        <w:rPr>
          <w:rFonts w:ascii="Gisha" w:hAnsi="Gisha" w:cs="Gisha"/>
          <w:color w:val="595959" w:themeColor="text1" w:themeTint="A6"/>
          <w:sz w:val="20"/>
          <w:szCs w:val="20"/>
        </w:rPr>
        <w:t xml:space="preserve">Nominations </w:t>
      </w:r>
      <w:r>
        <w:rPr>
          <w:rFonts w:ascii="Gisha" w:hAnsi="Gisha" w:cs="Gisha"/>
          <w:color w:val="595959" w:themeColor="text1" w:themeTint="A6"/>
          <w:sz w:val="20"/>
          <w:szCs w:val="20"/>
        </w:rPr>
        <w:t>must</w:t>
      </w:r>
      <w:r w:rsidR="00972170">
        <w:rPr>
          <w:rFonts w:ascii="Gisha" w:hAnsi="Gisha" w:cs="Gisha"/>
          <w:color w:val="595959" w:themeColor="text1" w:themeTint="A6"/>
          <w:sz w:val="20"/>
          <w:szCs w:val="20"/>
        </w:rPr>
        <w:t xml:space="preserve"> consist of the author(s), reference of publication and short nomination </w:t>
      </w:r>
      <w:r w:rsidR="00F31E06">
        <w:rPr>
          <w:rFonts w:ascii="Gisha" w:hAnsi="Gisha" w:cs="Gisha"/>
          <w:color w:val="595959" w:themeColor="text1" w:themeTint="A6"/>
          <w:sz w:val="20"/>
          <w:szCs w:val="20"/>
        </w:rPr>
        <w:t xml:space="preserve">statement </w:t>
      </w:r>
      <w:r w:rsidRPr="00D97AF8">
        <w:rPr>
          <w:rFonts w:ascii="Gisha" w:hAnsi="Gisha" w:cs="Gisha"/>
          <w:color w:val="595959" w:themeColor="text1" w:themeTint="A6"/>
          <w:sz w:val="20"/>
          <w:szCs w:val="20"/>
        </w:rPr>
        <w:t xml:space="preserve">(maximum of one single-spaced page) describing the publication's contributions to the profession. </w:t>
      </w:r>
    </w:p>
    <w:p w14:paraId="2E76FD4A" w14:textId="77777777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>Be as specific as possible w</w:t>
      </w:r>
      <w:r w:rsidRPr="00D97AF8">
        <w:rPr>
          <w:rFonts w:ascii="Gisha" w:hAnsi="Gisha" w:cs="Gisha"/>
          <w:color w:val="595959" w:themeColor="text1" w:themeTint="A6"/>
          <w:sz w:val="20"/>
          <w:szCs w:val="20"/>
        </w:rPr>
        <w:t xml:space="preserve">hen describing the enduring nature of the article and its overall contribution (e.g., shaped policy, new empirical methodology, unique data set, etc.) </w:t>
      </w:r>
    </w:p>
    <w:p w14:paraId="25DFD0A9" w14:textId="77777777" w:rsidR="00BA338F" w:rsidRPr="00A4242D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>Unsuccessful nominations may be re-documented and resubmitted in a subsequent year.</w:t>
      </w:r>
    </w:p>
    <w:p w14:paraId="16549DEB" w14:textId="3214AEC9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431E81AA" w14:textId="3D7332A3" w:rsidR="008557ED" w:rsidRPr="007618C2" w:rsidRDefault="008557ED" w:rsidP="008557ED">
      <w:pPr>
        <w:pStyle w:val="NoSpacing"/>
        <w:rPr>
          <w:rFonts w:ascii="Gisha" w:hAnsi="Gisha" w:cs="Gisha"/>
          <w:b/>
          <w:color w:val="595959" w:themeColor="text1" w:themeTint="A6"/>
          <w:sz w:val="20"/>
          <w:szCs w:val="20"/>
        </w:rPr>
      </w:pPr>
      <w:r>
        <w:rPr>
          <w:rFonts w:ascii="Gisha" w:hAnsi="Gisha" w:cs="Gisha"/>
          <w:b/>
          <w:color w:val="595959" w:themeColor="text1" w:themeTint="A6"/>
          <w:sz w:val="20"/>
          <w:szCs w:val="20"/>
        </w:rPr>
        <w:t>Selection</w:t>
      </w:r>
    </w:p>
    <w:p w14:paraId="0461255D" w14:textId="77777777" w:rsidR="008557ED" w:rsidRPr="007618C2" w:rsidRDefault="008557ED" w:rsidP="008557ED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1DE302A8" w14:textId="67C4E136" w:rsidR="008557ED" w:rsidRPr="007618C2" w:rsidRDefault="008557ED" w:rsidP="008557ED">
      <w:pPr>
        <w:pStyle w:val="NoSpacing"/>
        <w:widowControl w:val="0"/>
        <w:numPr>
          <w:ilvl w:val="0"/>
          <w:numId w:val="15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 xml:space="preserve">The </w:t>
      </w: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CAES Awards </w:t>
      </w: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 xml:space="preserve">committee selects one or </w:t>
      </w:r>
      <w:r>
        <w:rPr>
          <w:rFonts w:ascii="Gisha" w:hAnsi="Gisha" w:cs="Gisha"/>
          <w:color w:val="595959" w:themeColor="text1" w:themeTint="A6"/>
          <w:sz w:val="20"/>
          <w:szCs w:val="20"/>
        </w:rPr>
        <w:t>two winners</w:t>
      </w: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 xml:space="preserve"> from among the nominations, </w:t>
      </w: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according to the guidelines </w:t>
      </w: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 xml:space="preserve">outlined in </w:t>
      </w: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the </w:t>
      </w: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>CAES Policy and Procedures Manual.</w:t>
      </w:r>
    </w:p>
    <w:p w14:paraId="28E99E68" w14:textId="77777777" w:rsidR="008557ED" w:rsidRPr="00BA338F" w:rsidRDefault="008557ED" w:rsidP="008557ED">
      <w:pPr>
        <w:pStyle w:val="NoSpacing"/>
        <w:rPr>
          <w:spacing w:val="-1"/>
          <w:sz w:val="20"/>
          <w:szCs w:val="20"/>
        </w:rPr>
      </w:pPr>
    </w:p>
    <w:p w14:paraId="6895F6A8" w14:textId="77777777" w:rsidR="00BA338F" w:rsidRPr="003A59F8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  <w:r w:rsidRPr="003A59F8">
        <w:rPr>
          <w:rStyle w:val="Strong"/>
          <w:rFonts w:ascii="Gisha" w:hAnsi="Gisha" w:cs="Gisha"/>
          <w:color w:val="595959" w:themeColor="text1" w:themeTint="A6"/>
          <w:sz w:val="20"/>
          <w:szCs w:val="20"/>
        </w:rPr>
        <w:t>Where to Submit</w:t>
      </w:r>
    </w:p>
    <w:p w14:paraId="5C24828A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7FB0DD78" w14:textId="1A24C50D" w:rsidR="00BA338F" w:rsidRPr="00B517DE" w:rsidRDefault="00BA338F" w:rsidP="00BA338F">
      <w:pPr>
        <w:pStyle w:val="NoSpacing"/>
        <w:numPr>
          <w:ilvl w:val="0"/>
          <w:numId w:val="13"/>
        </w:numPr>
        <w:ind w:left="342"/>
        <w:rPr>
          <w:rFonts w:ascii="Gisha" w:hAnsi="Gisha" w:cs="Gisha"/>
          <w:color w:val="595959" w:themeColor="text1" w:themeTint="A6"/>
          <w:sz w:val="20"/>
          <w:szCs w:val="20"/>
        </w:rPr>
      </w:pPr>
      <w:r w:rsidRPr="00B517DE">
        <w:rPr>
          <w:rFonts w:ascii="Gisha" w:hAnsi="Gisha" w:cs="Gisha"/>
          <w:color w:val="595959" w:themeColor="text1" w:themeTint="A6"/>
          <w:sz w:val="20"/>
          <w:szCs w:val="20"/>
        </w:rPr>
        <w:t xml:space="preserve">Email nominations to </w:t>
      </w:r>
      <w:r w:rsidR="00F55D63">
        <w:rPr>
          <w:rFonts w:ascii="Gisha" w:hAnsi="Gisha" w:cs="Gisha"/>
          <w:color w:val="595959" w:themeColor="text1" w:themeTint="A6"/>
          <w:sz w:val="20"/>
          <w:szCs w:val="20"/>
        </w:rPr>
        <w:t>the Chair of the Awards Committee as identified on the annual Call for Nominations</w:t>
      </w:r>
    </w:p>
    <w:p w14:paraId="32D067C0" w14:textId="5F2C4717" w:rsidR="00BA338F" w:rsidRDefault="00BA338F" w:rsidP="00573D0B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40B01386" w14:textId="77777777" w:rsidR="00BA338F" w:rsidRPr="00BA338F" w:rsidRDefault="00BA338F" w:rsidP="00573D0B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44FE5D6E" w14:textId="147027BE" w:rsidR="00972170" w:rsidRDefault="00972170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  <w:r>
        <w:rPr>
          <w:rFonts w:ascii="Gisha" w:hAnsi="Gisha" w:cs="Gisha"/>
          <w:b/>
          <w:color w:val="595959" w:themeColor="text1" w:themeTint="A6"/>
          <w:sz w:val="24"/>
          <w:szCs w:val="24"/>
        </w:rPr>
        <w:t>Author(s):</w:t>
      </w:r>
    </w:p>
    <w:p w14:paraId="7F4940F5" w14:textId="384DF8B5" w:rsidR="00972170" w:rsidRDefault="00972170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</w:p>
    <w:p w14:paraId="224AFB6B" w14:textId="35C16598" w:rsidR="00972170" w:rsidRDefault="00972170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  <w:r>
        <w:rPr>
          <w:rFonts w:ascii="Gisha" w:hAnsi="Gisha" w:cs="Gisha"/>
          <w:b/>
          <w:color w:val="595959" w:themeColor="text1" w:themeTint="A6"/>
          <w:sz w:val="24"/>
          <w:szCs w:val="24"/>
        </w:rPr>
        <w:t xml:space="preserve">Full Reference: </w:t>
      </w:r>
    </w:p>
    <w:p w14:paraId="21C26103" w14:textId="0E9B9F91" w:rsidR="00573D0B" w:rsidRDefault="00573D0B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</w:p>
    <w:p w14:paraId="10087C04" w14:textId="77777777" w:rsidR="00972170" w:rsidRDefault="00972170" w:rsidP="00972170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  <w:r w:rsidRPr="00573D0B">
        <w:rPr>
          <w:rFonts w:ascii="Gisha" w:hAnsi="Gisha" w:cs="Gisha"/>
          <w:b/>
          <w:color w:val="595959" w:themeColor="text1" w:themeTint="A6"/>
          <w:sz w:val="24"/>
          <w:szCs w:val="24"/>
        </w:rPr>
        <w:t>Nomination Statement:</w:t>
      </w:r>
    </w:p>
    <w:p w14:paraId="03452E29" w14:textId="77777777" w:rsidR="00972170" w:rsidRDefault="00972170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</w:p>
    <w:sectPr w:rsidR="00972170" w:rsidSect="00CB585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B7"/>
    <w:multiLevelType w:val="multilevel"/>
    <w:tmpl w:val="D6E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78BB"/>
    <w:multiLevelType w:val="hybridMultilevel"/>
    <w:tmpl w:val="1FB8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881"/>
    <w:multiLevelType w:val="multilevel"/>
    <w:tmpl w:val="159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C70C8"/>
    <w:multiLevelType w:val="hybridMultilevel"/>
    <w:tmpl w:val="059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361"/>
    <w:multiLevelType w:val="multilevel"/>
    <w:tmpl w:val="28DC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70C43"/>
    <w:multiLevelType w:val="hybridMultilevel"/>
    <w:tmpl w:val="C02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539B"/>
    <w:multiLevelType w:val="hybridMultilevel"/>
    <w:tmpl w:val="CA9C43F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35A36"/>
    <w:multiLevelType w:val="multilevel"/>
    <w:tmpl w:val="0E6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012C5"/>
    <w:multiLevelType w:val="multilevel"/>
    <w:tmpl w:val="864E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1189A"/>
    <w:multiLevelType w:val="hybridMultilevel"/>
    <w:tmpl w:val="0C8C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6703"/>
    <w:multiLevelType w:val="hybridMultilevel"/>
    <w:tmpl w:val="51127772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85B3F92"/>
    <w:multiLevelType w:val="hybridMultilevel"/>
    <w:tmpl w:val="1386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2A8C"/>
    <w:multiLevelType w:val="hybridMultilevel"/>
    <w:tmpl w:val="DB9C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7505"/>
    <w:multiLevelType w:val="multilevel"/>
    <w:tmpl w:val="325E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E2"/>
    <w:rsid w:val="000308A9"/>
    <w:rsid w:val="0005337F"/>
    <w:rsid w:val="0013051B"/>
    <w:rsid w:val="001B4B77"/>
    <w:rsid w:val="00256CE6"/>
    <w:rsid w:val="00271B92"/>
    <w:rsid w:val="002861CC"/>
    <w:rsid w:val="002A4B18"/>
    <w:rsid w:val="002D0F4D"/>
    <w:rsid w:val="003072CF"/>
    <w:rsid w:val="00312ED7"/>
    <w:rsid w:val="003560E8"/>
    <w:rsid w:val="00504D2D"/>
    <w:rsid w:val="00560DBC"/>
    <w:rsid w:val="00573D0B"/>
    <w:rsid w:val="005E14C5"/>
    <w:rsid w:val="005F345D"/>
    <w:rsid w:val="006A0C0E"/>
    <w:rsid w:val="006A64E2"/>
    <w:rsid w:val="007235E2"/>
    <w:rsid w:val="007449F2"/>
    <w:rsid w:val="008557ED"/>
    <w:rsid w:val="008C000C"/>
    <w:rsid w:val="00907FEF"/>
    <w:rsid w:val="00925FD1"/>
    <w:rsid w:val="00972170"/>
    <w:rsid w:val="00A05B76"/>
    <w:rsid w:val="00A50FE6"/>
    <w:rsid w:val="00A551CB"/>
    <w:rsid w:val="00A81AF1"/>
    <w:rsid w:val="00AC2B13"/>
    <w:rsid w:val="00B223EC"/>
    <w:rsid w:val="00B850A1"/>
    <w:rsid w:val="00BA338F"/>
    <w:rsid w:val="00BB1258"/>
    <w:rsid w:val="00BD4DC1"/>
    <w:rsid w:val="00BF5BA6"/>
    <w:rsid w:val="00C00AFE"/>
    <w:rsid w:val="00C221AC"/>
    <w:rsid w:val="00C327CA"/>
    <w:rsid w:val="00C40A25"/>
    <w:rsid w:val="00C926D2"/>
    <w:rsid w:val="00CB5858"/>
    <w:rsid w:val="00D041A8"/>
    <w:rsid w:val="00D04C42"/>
    <w:rsid w:val="00D62EA8"/>
    <w:rsid w:val="00E36C59"/>
    <w:rsid w:val="00E67B6F"/>
    <w:rsid w:val="00ED6242"/>
    <w:rsid w:val="00F136CD"/>
    <w:rsid w:val="00F25CCB"/>
    <w:rsid w:val="00F31E06"/>
    <w:rsid w:val="00F34A4A"/>
    <w:rsid w:val="00F55D63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D660"/>
  <w15:chartTrackingRefBased/>
  <w15:docId w15:val="{309185AA-7ABD-4201-AEBC-35958CE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3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5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3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35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2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5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35E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56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E8"/>
    <w:rPr>
      <w:rFonts w:ascii="Segoe UI" w:hAnsi="Segoe UI" w:cs="Segoe UI"/>
      <w:sz w:val="18"/>
      <w:szCs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1B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1B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4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926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0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Goddard, Ellen</cp:lastModifiedBy>
  <cp:revision>2</cp:revision>
  <cp:lastPrinted>2019-02-10T21:20:00Z</cp:lastPrinted>
  <dcterms:created xsi:type="dcterms:W3CDTF">2022-02-24T18:44:00Z</dcterms:created>
  <dcterms:modified xsi:type="dcterms:W3CDTF">2022-02-24T18:44:00Z</dcterms:modified>
</cp:coreProperties>
</file>